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6DB6" w:rsidRPr="00174B5A" w:rsidRDefault="00211F20" w:rsidP="00222A36">
      <w:pPr>
        <w:pStyle w:val="Headline-1"/>
      </w:pPr>
      <w:r w:rsidRPr="00174B5A">
        <w:t xml:space="preserve">The </w:t>
      </w:r>
      <w:r w:rsidR="00E06027" w:rsidRPr="00174B5A">
        <w:t>impact</w:t>
      </w:r>
      <w:r w:rsidRPr="00174B5A">
        <w:t xml:space="preserve"> </w:t>
      </w:r>
      <w:r w:rsidR="00FA696A" w:rsidRPr="00174B5A">
        <w:t>of an antihypertensive therapy of three to six months</w:t>
      </w:r>
      <w:r w:rsidR="009F38EB">
        <w:br/>
      </w:r>
      <w:r w:rsidRPr="00174B5A">
        <w:t>o</w:t>
      </w:r>
      <w:r w:rsidR="00E06027" w:rsidRPr="00174B5A">
        <w:t>n</w:t>
      </w:r>
      <w:r w:rsidR="00FA696A" w:rsidRPr="00174B5A">
        <w:t xml:space="preserve"> the</w:t>
      </w:r>
      <w:r w:rsidR="00E06027" w:rsidRPr="00174B5A">
        <w:t xml:space="preserve"> blood pres</w:t>
      </w:r>
      <w:r w:rsidR="00FA696A" w:rsidRPr="00174B5A">
        <w:t>sure parameters of young adults</w:t>
      </w:r>
    </w:p>
    <w:p w:rsidR="00F57C85" w:rsidRPr="00174B5A" w:rsidRDefault="009F34EF" w:rsidP="00174B5A">
      <w:pPr>
        <w:pStyle w:val="authors"/>
        <w:rPr>
          <w:b w:val="0"/>
        </w:rPr>
      </w:pPr>
      <w:r w:rsidRPr="00174B5A">
        <w:rPr>
          <w:rStyle w:val="surname"/>
        </w:rPr>
        <w:t>Bischoff</w:t>
      </w:r>
      <w:r w:rsidR="00F57C85" w:rsidRPr="00174B5A">
        <w:t xml:space="preserve"> </w:t>
      </w:r>
      <w:r w:rsidR="00F57C85" w:rsidRPr="00174B5A">
        <w:rPr>
          <w:rStyle w:val="given-names"/>
        </w:rPr>
        <w:t>C</w:t>
      </w:r>
      <w:r w:rsidR="007B2475" w:rsidRPr="00174B5A">
        <w:t xml:space="preserve"> </w:t>
      </w:r>
      <w:r w:rsidR="007B2475" w:rsidRPr="00174B5A">
        <w:rPr>
          <w:rStyle w:val="degrees"/>
        </w:rPr>
        <w:t>Dr</w:t>
      </w:r>
      <w:r w:rsidR="00F57C85" w:rsidRPr="00174B5A">
        <w:rPr>
          <w:rStyle w:val="aff"/>
        </w:rPr>
        <w:t>1</w:t>
      </w:r>
      <w:r w:rsidR="00F57C85" w:rsidRPr="00174B5A">
        <w:rPr>
          <w:b w:val="0"/>
        </w:rPr>
        <w:t xml:space="preserve">, </w:t>
      </w:r>
      <w:r w:rsidRPr="00174B5A">
        <w:rPr>
          <w:rStyle w:val="Formatvorlagesurname"/>
          <w:b/>
          <w:bCs w:val="0"/>
        </w:rPr>
        <w:t>Friedrich</w:t>
      </w:r>
      <w:r w:rsidR="005D5F06" w:rsidRPr="00174B5A">
        <w:rPr>
          <w:b w:val="0"/>
        </w:rPr>
        <w:t xml:space="preserve"> </w:t>
      </w:r>
      <w:r w:rsidR="005D5F06" w:rsidRPr="00174B5A">
        <w:rPr>
          <w:rStyle w:val="given-names"/>
        </w:rPr>
        <w:t>R</w:t>
      </w:r>
      <w:r w:rsidR="005D5F06" w:rsidRPr="00174B5A">
        <w:rPr>
          <w:rStyle w:val="aff"/>
        </w:rPr>
        <w:t>1</w:t>
      </w:r>
      <w:r w:rsidR="005D5F06" w:rsidRPr="00174B5A">
        <w:rPr>
          <w:b w:val="0"/>
        </w:rPr>
        <w:t>,</w:t>
      </w:r>
      <w:r w:rsidRPr="00174B5A">
        <w:rPr>
          <w:b w:val="0"/>
        </w:rPr>
        <w:t xml:space="preserve"> </w:t>
      </w:r>
      <w:r w:rsidRPr="00174B5A">
        <w:rPr>
          <w:rStyle w:val="Formatvorlagesurname"/>
          <w:b/>
          <w:bCs w:val="0"/>
        </w:rPr>
        <w:t>Falz</w:t>
      </w:r>
      <w:r w:rsidR="00F57C85" w:rsidRPr="00174B5A">
        <w:rPr>
          <w:b w:val="0"/>
        </w:rPr>
        <w:t xml:space="preserve"> </w:t>
      </w:r>
      <w:r w:rsidR="00F57C85" w:rsidRPr="00174B5A">
        <w:rPr>
          <w:rStyle w:val="given-names"/>
        </w:rPr>
        <w:t>R</w:t>
      </w:r>
      <w:r w:rsidR="00F57C85" w:rsidRPr="00174B5A">
        <w:rPr>
          <w:rStyle w:val="aff"/>
        </w:rPr>
        <w:t>1</w:t>
      </w:r>
      <w:r w:rsidR="005174E1" w:rsidRPr="00174B5A">
        <w:rPr>
          <w:b w:val="0"/>
        </w:rPr>
        <w:t>,</w:t>
      </w:r>
      <w:r w:rsidRPr="00174B5A">
        <w:rPr>
          <w:b w:val="0"/>
        </w:rPr>
        <w:t xml:space="preserve"> </w:t>
      </w:r>
      <w:r w:rsidR="008C3BA3" w:rsidRPr="00174B5A">
        <w:rPr>
          <w:rStyle w:val="Formatvorlagesurname"/>
          <w:b/>
          <w:bCs w:val="0"/>
        </w:rPr>
        <w:t>Fikenzer</w:t>
      </w:r>
      <w:r w:rsidR="008C3BA3" w:rsidRPr="00174B5A">
        <w:rPr>
          <w:b w:val="0"/>
        </w:rPr>
        <w:t xml:space="preserve"> </w:t>
      </w:r>
      <w:r w:rsidR="008C3BA3" w:rsidRPr="00174B5A">
        <w:rPr>
          <w:rStyle w:val="given-names"/>
        </w:rPr>
        <w:t>S</w:t>
      </w:r>
      <w:r w:rsidR="008C3BA3" w:rsidRPr="00174B5A">
        <w:rPr>
          <w:rStyle w:val="aff"/>
        </w:rPr>
        <w:t>2</w:t>
      </w:r>
      <w:r w:rsidR="008C3BA3" w:rsidRPr="00174B5A">
        <w:rPr>
          <w:b w:val="0"/>
        </w:rPr>
        <w:t>,</w:t>
      </w:r>
      <w:r w:rsidR="00B31BF0" w:rsidRPr="00174B5A">
        <w:rPr>
          <w:b w:val="0"/>
        </w:rPr>
        <w:t xml:space="preserve"> </w:t>
      </w:r>
      <w:r w:rsidR="005D5F06" w:rsidRPr="004E5F31">
        <w:rPr>
          <w:rStyle w:val="surname"/>
        </w:rPr>
        <w:t>Busse</w:t>
      </w:r>
      <w:r w:rsidR="005D5F06" w:rsidRPr="004E5F31">
        <w:t xml:space="preserve"> </w:t>
      </w:r>
      <w:r w:rsidR="005D5F06" w:rsidRPr="00174B5A">
        <w:rPr>
          <w:rStyle w:val="given-names"/>
        </w:rPr>
        <w:t>M</w:t>
      </w:r>
      <w:r w:rsidR="00F57C85" w:rsidRPr="00174B5A">
        <w:rPr>
          <w:rStyle w:val="aff"/>
        </w:rPr>
        <w:t>1</w:t>
      </w:r>
    </w:p>
    <w:p w:rsidR="00F57C85" w:rsidRPr="00174B5A" w:rsidRDefault="00DD1BA2" w:rsidP="002473CC">
      <w:pPr>
        <w:pStyle w:val="affiliation"/>
      </w:pPr>
      <w:r w:rsidRPr="00174B5A">
        <w:t xml:space="preserve">1 </w:t>
      </w:r>
      <w:r w:rsidR="00F57C85" w:rsidRPr="00174B5A">
        <w:t>Institu</w:t>
      </w:r>
      <w:r w:rsidRPr="00174B5A">
        <w:t>t</w:t>
      </w:r>
      <w:r w:rsidR="008D585F" w:rsidRPr="00174B5A">
        <w:t xml:space="preserve">e of Sports </w:t>
      </w:r>
      <w:r w:rsidR="004635FF" w:rsidRPr="00174B5A">
        <w:t xml:space="preserve">Medicine / Sports Medical Clinic of the </w:t>
      </w:r>
      <w:r w:rsidR="008D585F" w:rsidRPr="00174B5A">
        <w:t>University of Leipzig</w:t>
      </w:r>
      <w:r w:rsidRPr="00174B5A">
        <w:t xml:space="preserve"> </w:t>
      </w:r>
      <w:r w:rsidR="00EE3F14" w:rsidRPr="00174B5A">
        <w:t>(Direc</w:t>
      </w:r>
      <w:r w:rsidR="00F57C85" w:rsidRPr="00174B5A">
        <w:t>tor: Prof. Dr.</w:t>
      </w:r>
      <w:r w:rsidRPr="00174B5A">
        <w:t xml:space="preserve"> med. M.</w:t>
      </w:r>
      <w:r w:rsidR="00F57C85" w:rsidRPr="00174B5A">
        <w:t xml:space="preserve"> Busse)</w:t>
      </w:r>
    </w:p>
    <w:p w:rsidR="002473CC" w:rsidRPr="00174B5A" w:rsidRDefault="00EE3F14" w:rsidP="002473CC">
      <w:pPr>
        <w:pStyle w:val="affiliation"/>
      </w:pPr>
      <w:r w:rsidRPr="00174B5A">
        <w:t xml:space="preserve">2 </w:t>
      </w:r>
      <w:r w:rsidR="00AE215B" w:rsidRPr="00174B5A">
        <w:t xml:space="preserve">Department of </w:t>
      </w:r>
      <w:r w:rsidR="00B31BF0" w:rsidRPr="00174B5A">
        <w:t>Fitness</w:t>
      </w:r>
      <w:r w:rsidR="008D585F" w:rsidRPr="00174B5A">
        <w:t xml:space="preserve"> and</w:t>
      </w:r>
      <w:r w:rsidR="00B31BF0" w:rsidRPr="00174B5A">
        <w:t xml:space="preserve"> Individual</w:t>
      </w:r>
      <w:r w:rsidR="008D585F" w:rsidRPr="00174B5A">
        <w:t xml:space="preserve"> T</w:t>
      </w:r>
      <w:r w:rsidR="00B31BF0" w:rsidRPr="00174B5A">
        <w:t xml:space="preserve">raining, </w:t>
      </w:r>
      <w:r w:rsidR="008D585F" w:rsidRPr="00174B5A">
        <w:t>German University of Applied Sciences for Prevention and Health Management</w:t>
      </w:r>
      <w:r w:rsidR="00B31BF0" w:rsidRPr="00174B5A">
        <w:t xml:space="preserve">, Saarbrücken, </w:t>
      </w:r>
      <w:r w:rsidR="008D585F" w:rsidRPr="00174B5A">
        <w:t>Germany</w:t>
      </w:r>
    </w:p>
    <w:p w:rsidR="00F57C85" w:rsidRPr="00174B5A" w:rsidRDefault="00EE3F14" w:rsidP="00660485">
      <w:pPr>
        <w:pStyle w:val="Headline-2rule"/>
        <w:sectPr w:rsidR="00F57C85" w:rsidRPr="00174B5A" w:rsidSect="003F22DB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417" w:right="1417" w:bottom="1134" w:left="1417" w:header="708" w:footer="720" w:gutter="0"/>
          <w:pgNumType w:start="9"/>
          <w:cols w:space="720"/>
          <w:docGrid w:linePitch="360"/>
        </w:sectPr>
      </w:pPr>
      <w:r w:rsidRPr="00174B5A">
        <w:t>Abstract</w:t>
      </w:r>
    </w:p>
    <w:p w:rsidR="00DD1BA2" w:rsidRPr="00174B5A" w:rsidRDefault="00F57C85" w:rsidP="00AD2784">
      <w:pPr>
        <w:pStyle w:val="quotation"/>
      </w:pPr>
      <w:r w:rsidRPr="00174B5A">
        <w:lastRenderedPageBreak/>
        <w:t xml:space="preserve">Bischoff C, </w:t>
      </w:r>
      <w:r w:rsidR="006037D1" w:rsidRPr="00174B5A">
        <w:t>Friedrich R,</w:t>
      </w:r>
      <w:r w:rsidR="00F5106E" w:rsidRPr="00174B5A">
        <w:t xml:space="preserve"> </w:t>
      </w:r>
      <w:r w:rsidRPr="00174B5A">
        <w:t>Falz R,</w:t>
      </w:r>
      <w:r w:rsidR="006037D1" w:rsidRPr="00174B5A">
        <w:t xml:space="preserve"> Fikenzer S,</w:t>
      </w:r>
      <w:r w:rsidRPr="00174B5A">
        <w:t xml:space="preserve"> </w:t>
      </w:r>
      <w:r w:rsidR="00FC6DB6" w:rsidRPr="00174B5A">
        <w:t>Busse M.</w:t>
      </w:r>
      <w:r w:rsidR="009570CC" w:rsidRPr="00174B5A">
        <w:t xml:space="preserve"> </w:t>
      </w:r>
      <w:r w:rsidR="00FC6DB6" w:rsidRPr="00174B5A">
        <w:t>The impact of an antihypertensive therapy of three to six months on the blood pressure parameters of young adults</w:t>
      </w:r>
      <w:r w:rsidR="007309D2" w:rsidRPr="00174B5A">
        <w:t xml:space="preserve">. </w:t>
      </w:r>
      <w:r w:rsidR="00DD1BA2" w:rsidRPr="00174B5A">
        <w:t xml:space="preserve">Clinical Sports Medicine </w:t>
      </w:r>
      <w:r w:rsidR="004A6409" w:rsidRPr="00174B5A">
        <w:t>International (CSMI) 2014</w:t>
      </w:r>
      <w:r w:rsidR="00DD1BA2" w:rsidRPr="00174B5A">
        <w:t xml:space="preserve">, </w:t>
      </w:r>
      <w:r w:rsidR="004A6409" w:rsidRPr="00174B5A">
        <w:t>7</w:t>
      </w:r>
      <w:r w:rsidR="00DD1BA2" w:rsidRPr="00174B5A">
        <w:t xml:space="preserve"> (</w:t>
      </w:r>
      <w:r w:rsidR="00281365" w:rsidRPr="00174B5A">
        <w:t>1</w:t>
      </w:r>
      <w:r w:rsidR="004A6409" w:rsidRPr="00174B5A">
        <w:t>):</w:t>
      </w:r>
      <w:r w:rsidR="00DD1BA2" w:rsidRPr="00174B5A">
        <w:t xml:space="preserve"> </w:t>
      </w:r>
      <w:r w:rsidR="003F22DB" w:rsidRPr="00174B5A">
        <w:t>9</w:t>
      </w:r>
      <w:r w:rsidR="00DD1BA2" w:rsidRPr="00174B5A">
        <w:t>-</w:t>
      </w:r>
      <w:r w:rsidR="003F22DB" w:rsidRPr="00174B5A">
        <w:t>14</w:t>
      </w:r>
    </w:p>
    <w:p w:rsidR="004A6409" w:rsidRPr="00174B5A" w:rsidRDefault="007309D2" w:rsidP="00B7024A">
      <w:pPr>
        <w:pStyle w:val="Headline-3"/>
      </w:pPr>
      <w:r w:rsidRPr="00174B5A">
        <w:t>Introduction</w:t>
      </w:r>
      <w:r w:rsidR="00F57C85" w:rsidRPr="00174B5A">
        <w:t xml:space="preserve">: </w:t>
      </w:r>
    </w:p>
    <w:p w:rsidR="004A6409" w:rsidRPr="00174B5A" w:rsidRDefault="007309D2" w:rsidP="00DD6D42">
      <w:r w:rsidRPr="00174B5A">
        <w:t xml:space="preserve">Hypertension is one of the </w:t>
      </w:r>
      <w:r w:rsidR="00166FA8" w:rsidRPr="00174B5A">
        <w:t>major</w:t>
      </w:r>
      <w:r w:rsidRPr="00174B5A">
        <w:t xml:space="preserve"> risk factors for morbidity and mortality </w:t>
      </w:r>
      <w:r w:rsidR="00166FA8" w:rsidRPr="00174B5A">
        <w:t>in</w:t>
      </w:r>
      <w:r w:rsidR="003F5AE5" w:rsidRPr="00174B5A">
        <w:t xml:space="preserve"> cardiovascular diseases, but e</w:t>
      </w:r>
      <w:r w:rsidRPr="00174B5A">
        <w:t xml:space="preserve">tiology and pathology </w:t>
      </w:r>
      <w:r w:rsidR="00166FA8" w:rsidRPr="00174B5A">
        <w:t>for hypertension are not completely clarified</w:t>
      </w:r>
      <w:r w:rsidRPr="00174B5A">
        <w:t xml:space="preserve">. </w:t>
      </w:r>
      <w:r w:rsidR="00166FA8" w:rsidRPr="00174B5A">
        <w:t>T</w:t>
      </w:r>
      <w:r w:rsidR="0073535A" w:rsidRPr="00174B5A">
        <w:t xml:space="preserve">his </w:t>
      </w:r>
      <w:r w:rsidR="00166FA8" w:rsidRPr="00174B5A">
        <w:t xml:space="preserve">open-label </w:t>
      </w:r>
      <w:r w:rsidR="0073535A" w:rsidRPr="00174B5A">
        <w:t xml:space="preserve">study </w:t>
      </w:r>
      <w:r w:rsidR="00166FA8" w:rsidRPr="00174B5A">
        <w:t>focuses on</w:t>
      </w:r>
      <w:r w:rsidR="0073535A" w:rsidRPr="00174B5A">
        <w:t xml:space="preserve"> the examination of </w:t>
      </w:r>
      <w:r w:rsidR="001B190C" w:rsidRPr="00174B5A">
        <w:t>impacts</w:t>
      </w:r>
      <w:r w:rsidR="0073535A" w:rsidRPr="00174B5A">
        <w:t xml:space="preserve"> </w:t>
      </w:r>
      <w:r w:rsidR="001B190C" w:rsidRPr="00174B5A">
        <w:t>of an antihypertensive therapy of three to six months on the b</w:t>
      </w:r>
      <w:r w:rsidR="0073535A" w:rsidRPr="00174B5A">
        <w:t>lood pressure parameters of young adul</w:t>
      </w:r>
      <w:r w:rsidR="001B190C" w:rsidRPr="00174B5A">
        <w:t>ts.</w:t>
      </w:r>
    </w:p>
    <w:p w:rsidR="009F38EB" w:rsidRDefault="00F57C85" w:rsidP="00905EC4">
      <w:pPr>
        <w:pStyle w:val="Headline-3"/>
      </w:pPr>
      <w:r w:rsidRPr="00174B5A">
        <w:t xml:space="preserve">Material </w:t>
      </w:r>
    </w:p>
    <w:p w:rsidR="004A6409" w:rsidRPr="00174B5A" w:rsidRDefault="007309D2" w:rsidP="00905EC4">
      <w:pPr>
        <w:pStyle w:val="Headline-3"/>
      </w:pPr>
      <w:r w:rsidRPr="00174B5A">
        <w:t>and Method</w:t>
      </w:r>
      <w:r w:rsidR="00F57C85" w:rsidRPr="00174B5A">
        <w:t>:</w:t>
      </w:r>
      <w:r w:rsidR="00474668" w:rsidRPr="00174B5A">
        <w:t xml:space="preserve"> </w:t>
      </w:r>
    </w:p>
    <w:p w:rsidR="004A6409" w:rsidRPr="00174B5A" w:rsidRDefault="0073535A">
      <w:r w:rsidRPr="00174B5A">
        <w:t xml:space="preserve">After intense screening, </w:t>
      </w:r>
      <w:r w:rsidR="000E3ED9" w:rsidRPr="00174B5A">
        <w:t>medical consultation</w:t>
      </w:r>
      <w:r w:rsidRPr="00174B5A">
        <w:t xml:space="preserve"> and personal </w:t>
      </w:r>
      <w:r w:rsidR="001B190C" w:rsidRPr="00174B5A">
        <w:t>consent</w:t>
      </w:r>
      <w:r w:rsidRPr="00174B5A">
        <w:t xml:space="preserve">, 18 students in total </w:t>
      </w:r>
      <w:r w:rsidR="001B190C" w:rsidRPr="00174B5A">
        <w:t xml:space="preserve">could be included in the study. All of them had </w:t>
      </w:r>
      <w:r w:rsidR="0090446D" w:rsidRPr="00174B5A">
        <w:t>high</w:t>
      </w:r>
      <w:r w:rsidRPr="00174B5A">
        <w:t xml:space="preserve"> systolic blood pressure </w:t>
      </w:r>
      <w:r w:rsidR="001B190C" w:rsidRPr="00174B5A">
        <w:t>in repeated long-term blood pressure measurements. The pa</w:t>
      </w:r>
      <w:r w:rsidR="0090446D" w:rsidRPr="00174B5A">
        <w:t>rticipants of the intervention group (n=9) took a lower dosage of antihypertensive medication over a limited period of three or six months. After discontinu</w:t>
      </w:r>
      <w:r w:rsidR="00380B62" w:rsidRPr="00174B5A">
        <w:t>ing</w:t>
      </w:r>
      <w:r w:rsidR="0090446D" w:rsidRPr="00174B5A">
        <w:t xml:space="preserve"> medication, the blood pressure was observed three further months.</w:t>
      </w:r>
      <w:r w:rsidRPr="00174B5A">
        <w:t xml:space="preserve"> The participants of the control group </w:t>
      </w:r>
      <w:r w:rsidR="00974880" w:rsidRPr="00174B5A">
        <w:t xml:space="preserve">(n=9) received no </w:t>
      </w:r>
      <w:r w:rsidR="007143B6" w:rsidRPr="00174B5A">
        <w:t>medication</w:t>
      </w:r>
      <w:r w:rsidRPr="00174B5A">
        <w:t xml:space="preserve">. </w:t>
      </w:r>
      <w:r w:rsidR="007143B6" w:rsidRPr="00174B5A">
        <w:t xml:space="preserve">The initial measurement was followed by further </w:t>
      </w:r>
      <w:r w:rsidRPr="00174B5A">
        <w:t>long</w:t>
      </w:r>
      <w:r w:rsidR="007143B6" w:rsidRPr="00174B5A">
        <w:t>-</w:t>
      </w:r>
      <w:r w:rsidRPr="00174B5A">
        <w:t>term blood pressure measurements</w:t>
      </w:r>
      <w:r w:rsidR="007143B6" w:rsidRPr="00174B5A">
        <w:t xml:space="preserve"> at</w:t>
      </w:r>
      <w:r w:rsidRPr="00174B5A">
        <w:t xml:space="preserve"> set control points.</w:t>
      </w:r>
    </w:p>
    <w:p w:rsidR="004A6409" w:rsidRPr="00174B5A" w:rsidRDefault="0073535A" w:rsidP="00905EC4">
      <w:pPr>
        <w:pStyle w:val="Headline-3"/>
      </w:pPr>
      <w:r w:rsidRPr="00174B5A">
        <w:t>Results</w:t>
      </w:r>
      <w:r w:rsidR="00F57C85" w:rsidRPr="00174B5A">
        <w:t xml:space="preserve">: </w:t>
      </w:r>
    </w:p>
    <w:p w:rsidR="004A6409" w:rsidRPr="00174B5A" w:rsidRDefault="00974880" w:rsidP="001D6BD1">
      <w:r w:rsidRPr="00174B5A">
        <w:t>T</w:t>
      </w:r>
      <w:r w:rsidR="007143B6" w:rsidRPr="00174B5A">
        <w:t>he low dosage of taken medication</w:t>
      </w:r>
      <w:r w:rsidR="00D80624" w:rsidRPr="00174B5A">
        <w:t xml:space="preserve"> led to a significant </w:t>
      </w:r>
      <w:r w:rsidR="007143B6" w:rsidRPr="00174B5A">
        <w:t>reduction</w:t>
      </w:r>
      <w:r w:rsidR="00D80624" w:rsidRPr="00174B5A">
        <w:t xml:space="preserve"> of the systolic blood pressure, the </w:t>
      </w:r>
      <w:r w:rsidR="002F5C96" w:rsidRPr="00174B5A">
        <w:t xml:space="preserve">mean </w:t>
      </w:r>
      <w:r w:rsidR="00D80624" w:rsidRPr="00174B5A">
        <w:t xml:space="preserve">arterial pressure and the heart </w:t>
      </w:r>
      <w:r w:rsidR="002F5C96" w:rsidRPr="00174B5A">
        <w:t>rate</w:t>
      </w:r>
      <w:r w:rsidRPr="00174B5A">
        <w:t xml:space="preserve"> in the intervention group</w:t>
      </w:r>
      <w:r w:rsidR="00D80624" w:rsidRPr="00174B5A">
        <w:t>.</w:t>
      </w:r>
      <w:r w:rsidR="00380B62" w:rsidRPr="00174B5A">
        <w:t xml:space="preserve"> After discontinuing the antihypertensive medication</w:t>
      </w:r>
      <w:r w:rsidR="00900A86" w:rsidRPr="00174B5A">
        <w:t>,</w:t>
      </w:r>
      <w:r w:rsidR="00D80624" w:rsidRPr="00174B5A">
        <w:t xml:space="preserve"> </w:t>
      </w:r>
      <w:r w:rsidR="00380B62" w:rsidRPr="00174B5A">
        <w:t>the blood pressure increased moderately but not significantly</w:t>
      </w:r>
      <w:r w:rsidR="00D80624" w:rsidRPr="00174B5A">
        <w:t>. Despite the low increase of the blood pressure para</w:t>
      </w:r>
      <w:r w:rsidR="00380B62" w:rsidRPr="00174B5A">
        <w:t>meters after discontinuing medication</w:t>
      </w:r>
      <w:r w:rsidR="00D80624" w:rsidRPr="00174B5A">
        <w:t>, the systolic blood pressure and the pulse pressure were</w:t>
      </w:r>
      <w:r w:rsidR="00E86E3E" w:rsidRPr="00174B5A">
        <w:t>, as compared to the base level,</w:t>
      </w:r>
      <w:r w:rsidR="00D80624" w:rsidRPr="00174B5A">
        <w:t xml:space="preserve"> lower </w:t>
      </w:r>
      <w:r w:rsidR="00900A86" w:rsidRPr="00174B5A">
        <w:t xml:space="preserve">at the time of the </w:t>
      </w:r>
      <w:r w:rsidR="00E86E3E" w:rsidRPr="00174B5A">
        <w:t>final</w:t>
      </w:r>
      <w:r w:rsidR="00900A86" w:rsidRPr="00174B5A">
        <w:t xml:space="preserve"> </w:t>
      </w:r>
      <w:r w:rsidR="00E86E3E" w:rsidRPr="00174B5A">
        <w:t>measurement</w:t>
      </w:r>
      <w:r w:rsidR="00380B62" w:rsidRPr="00174B5A">
        <w:t xml:space="preserve">. The blood pressure parameters in the reference group showed no significant change and remained on a stable level over the </w:t>
      </w:r>
      <w:r w:rsidR="004E471A" w:rsidRPr="00174B5A">
        <w:t>entire</w:t>
      </w:r>
      <w:r w:rsidR="00380B62" w:rsidRPr="00174B5A">
        <w:t xml:space="preserve"> period.</w:t>
      </w:r>
    </w:p>
    <w:p w:rsidR="004A6409" w:rsidRPr="00174B5A" w:rsidRDefault="007143B6" w:rsidP="00CF07FF">
      <w:pPr>
        <w:pStyle w:val="head3"/>
      </w:pPr>
      <w:r w:rsidRPr="00174B5A">
        <w:t>Conclusion</w:t>
      </w:r>
      <w:r w:rsidR="008C5194" w:rsidRPr="00174B5A">
        <w:t>:</w:t>
      </w:r>
      <w:r w:rsidR="001D6BD1" w:rsidRPr="00174B5A">
        <w:t xml:space="preserve"> </w:t>
      </w:r>
    </w:p>
    <w:p w:rsidR="004A6409" w:rsidRPr="00174B5A" w:rsidRDefault="00380B62">
      <w:r w:rsidRPr="00174B5A">
        <w:t>Systolic blood pressure and pulse pressure may decrease as an effect of a preceding pharmaceutical therapy in young adults with high systolic blood pressure.</w:t>
      </w:r>
      <w:r w:rsidR="00D80624" w:rsidRPr="00174B5A">
        <w:t xml:space="preserve"> </w:t>
      </w:r>
      <w:r w:rsidR="00E86E3E" w:rsidRPr="00174B5A">
        <w:t>Nevertheless, f</w:t>
      </w:r>
      <w:r w:rsidR="00315523" w:rsidRPr="00174B5A">
        <w:t xml:space="preserve">urther investigations should follow due to the relatively small study </w:t>
      </w:r>
      <w:r w:rsidR="00E86E3E" w:rsidRPr="00174B5A">
        <w:t>population</w:t>
      </w:r>
      <w:r w:rsidR="00315523" w:rsidRPr="00174B5A">
        <w:t>.</w:t>
      </w:r>
    </w:p>
    <w:p w:rsidR="004A6409" w:rsidRPr="00174B5A" w:rsidRDefault="00315523" w:rsidP="00905EC4">
      <w:pPr>
        <w:pStyle w:val="Headline-3"/>
      </w:pPr>
      <w:r w:rsidRPr="00174B5A">
        <w:t>Keywords</w:t>
      </w:r>
      <w:r w:rsidR="00F57C85" w:rsidRPr="00174B5A">
        <w:t xml:space="preserve">: </w:t>
      </w:r>
    </w:p>
    <w:p w:rsidR="00F57C85" w:rsidRPr="00174B5A" w:rsidRDefault="00315523">
      <w:r w:rsidRPr="00174B5A">
        <w:t>h</w:t>
      </w:r>
      <w:r w:rsidR="00D80624" w:rsidRPr="00174B5A">
        <w:t>ypertension</w:t>
      </w:r>
      <w:r w:rsidRPr="00174B5A">
        <w:t>, t</w:t>
      </w:r>
      <w:r w:rsidR="00F57C85" w:rsidRPr="00174B5A">
        <w:t>he</w:t>
      </w:r>
      <w:r w:rsidR="00D80624" w:rsidRPr="00174B5A">
        <w:t>rapy</w:t>
      </w:r>
      <w:r w:rsidR="00F57C85" w:rsidRPr="00174B5A">
        <w:t xml:space="preserve">, </w:t>
      </w:r>
      <w:r w:rsidR="00660485" w:rsidRPr="00174B5A">
        <w:t>young adult</w:t>
      </w:r>
    </w:p>
    <w:p w:rsidR="003120F4" w:rsidRPr="00174B5A" w:rsidRDefault="00211F20" w:rsidP="00DC6EE3">
      <w:pPr>
        <w:pStyle w:val="Headline-2rule"/>
        <w:sectPr w:rsidR="003120F4" w:rsidRPr="00174B5A">
          <w:headerReference w:type="even" r:id="rId10"/>
          <w:headerReference w:type="default" r:id="rId11"/>
          <w:headerReference w:type="first" r:id="rId12"/>
          <w:footnotePr>
            <w:pos w:val="beneathText"/>
          </w:footnotePr>
          <w:type w:val="continuous"/>
          <w:pgSz w:w="11905" w:h="16837"/>
          <w:pgMar w:top="1417" w:right="1417" w:bottom="1134" w:left="1417" w:header="708" w:footer="720" w:gutter="0"/>
          <w:cols w:space="720"/>
          <w:docGrid w:linePitch="360"/>
        </w:sectPr>
      </w:pPr>
      <w:r w:rsidRPr="00174B5A">
        <w:t>Introduction</w:t>
      </w:r>
    </w:p>
    <w:p w:rsidR="00AD2784" w:rsidRPr="00174B5A" w:rsidRDefault="00211F20">
      <w:pPr>
        <w:sectPr w:rsidR="00AD2784" w:rsidRPr="00174B5A">
          <w:headerReference w:type="even" r:id="rId13"/>
          <w:headerReference w:type="default" r:id="rId14"/>
          <w:headerReference w:type="first" r:id="rId15"/>
          <w:footnotePr>
            <w:pos w:val="beneathText"/>
          </w:footnotePr>
          <w:type w:val="continuous"/>
          <w:pgSz w:w="11905" w:h="16837"/>
          <w:pgMar w:top="1417" w:right="1417" w:bottom="1134" w:left="1417" w:header="708" w:footer="720" w:gutter="0"/>
          <w:cols w:num="2" w:space="709"/>
          <w:docGrid w:linePitch="360"/>
        </w:sectPr>
      </w:pPr>
      <w:r w:rsidRPr="00174B5A">
        <w:lastRenderedPageBreak/>
        <w:t xml:space="preserve">According to the German Statistical Office, cardiovascular diseases are the </w:t>
      </w:r>
      <w:r w:rsidR="00E86E3E" w:rsidRPr="00174B5A">
        <w:t>most common</w:t>
      </w:r>
      <w:r w:rsidRPr="00174B5A">
        <w:t xml:space="preserve"> cause of death </w:t>
      </w:r>
      <w:r w:rsidR="00F9422A" w:rsidRPr="00174B5A">
        <w:t>(41</w:t>
      </w:r>
      <w:r w:rsidRPr="00174B5A">
        <w:t>.</w:t>
      </w:r>
      <w:r w:rsidR="00F9422A" w:rsidRPr="00174B5A">
        <w:t>1</w:t>
      </w:r>
      <w:r w:rsidRPr="00174B5A">
        <w:t> </w:t>
      </w:r>
      <w:r w:rsidR="00F9422A" w:rsidRPr="00174B5A">
        <w:t xml:space="preserve">%) in </w:t>
      </w:r>
      <w:r w:rsidR="00F01EB2" w:rsidRPr="00174B5A">
        <w:t>Germany</w:t>
      </w:r>
      <w:r w:rsidR="00F9422A" w:rsidRPr="00174B5A">
        <w:t xml:space="preserve"> </w:t>
      </w:r>
      <w:r w:rsidR="00DC63AC" w:rsidRPr="00172DC9">
        <w:rPr>
          <w:rStyle w:val="ref"/>
        </w:rPr>
        <w:t>[1</w:t>
      </w:r>
      <w:r w:rsidR="00474668" w:rsidRPr="00172DC9">
        <w:rPr>
          <w:rStyle w:val="ref"/>
        </w:rPr>
        <w:t>8</w:t>
      </w:r>
      <w:r w:rsidR="009819F9" w:rsidRPr="00172DC9">
        <w:rPr>
          <w:rStyle w:val="ref"/>
        </w:rPr>
        <w:t>]</w:t>
      </w:r>
      <w:r w:rsidR="009819F9" w:rsidRPr="00174B5A">
        <w:t>. O</w:t>
      </w:r>
      <w:r w:rsidR="00F01EB2" w:rsidRPr="00174B5A">
        <w:t xml:space="preserve">ne of the </w:t>
      </w:r>
      <w:r w:rsidR="00E86E3E" w:rsidRPr="00174B5A">
        <w:t>major</w:t>
      </w:r>
      <w:r w:rsidR="00F01EB2" w:rsidRPr="00174B5A">
        <w:t xml:space="preserve"> risk factors for the development of cardiovascular diseases is </w:t>
      </w:r>
      <w:r w:rsidR="00F81CF7" w:rsidRPr="00174B5A">
        <w:t>arterial hypertension</w:t>
      </w:r>
      <w:r w:rsidR="000F4680" w:rsidRPr="00174B5A">
        <w:t xml:space="preserve"> </w:t>
      </w:r>
      <w:r w:rsidR="00DC63AC" w:rsidRPr="00172DC9">
        <w:rPr>
          <w:rStyle w:val="ref"/>
        </w:rPr>
        <w:t>[</w:t>
      </w:r>
      <w:r w:rsidR="00474668" w:rsidRPr="00172DC9">
        <w:rPr>
          <w:rStyle w:val="ref"/>
        </w:rPr>
        <w:t>7</w:t>
      </w:r>
      <w:r w:rsidR="00DC63AC" w:rsidRPr="00172DC9">
        <w:rPr>
          <w:rStyle w:val="ref"/>
        </w:rPr>
        <w:t>]</w:t>
      </w:r>
      <w:r w:rsidR="00DC63AC" w:rsidRPr="00174B5A">
        <w:t xml:space="preserve">. </w:t>
      </w:r>
      <w:r w:rsidR="00F81CF7" w:rsidRPr="00174B5A">
        <w:t>It is estimated that a</w:t>
      </w:r>
      <w:r w:rsidR="00F01EB2" w:rsidRPr="00174B5A">
        <w:t xml:space="preserve">pproximately 35 million German citizens </w:t>
      </w:r>
      <w:r w:rsidR="00186726" w:rsidRPr="00174B5A">
        <w:t xml:space="preserve">have </w:t>
      </w:r>
      <w:r w:rsidR="00F01EB2" w:rsidRPr="00174B5A">
        <w:t xml:space="preserve">blood pressure that </w:t>
      </w:r>
      <w:r w:rsidR="00E86E3E" w:rsidRPr="00174B5A">
        <w:t>is considerably higher than the set limit</w:t>
      </w:r>
      <w:r w:rsidR="00287990" w:rsidRPr="00174B5A">
        <w:t>s</w:t>
      </w:r>
      <w:r w:rsidR="00186726" w:rsidRPr="00174B5A">
        <w:t>, b</w:t>
      </w:r>
      <w:r w:rsidR="00F01EB2" w:rsidRPr="00174B5A">
        <w:t xml:space="preserve">ut only every second person knows about </w:t>
      </w:r>
      <w:r w:rsidR="00130CC2" w:rsidRPr="00174B5A">
        <w:t>the</w:t>
      </w:r>
      <w:r w:rsidR="00F01EB2" w:rsidRPr="00174B5A">
        <w:t xml:space="preserve"> </w:t>
      </w:r>
      <w:r w:rsidR="00186726" w:rsidRPr="00174B5A">
        <w:t>elevated</w:t>
      </w:r>
      <w:r w:rsidR="00F01EB2" w:rsidRPr="00174B5A">
        <w:t xml:space="preserve"> blood pressure</w:t>
      </w:r>
      <w:r w:rsidR="00287990" w:rsidRPr="00174B5A">
        <w:t xml:space="preserve"> level</w:t>
      </w:r>
      <w:r w:rsidR="00F01EB2" w:rsidRPr="00174B5A">
        <w:t xml:space="preserve"> </w:t>
      </w:r>
      <w:r w:rsidR="0027464D" w:rsidRPr="00172DC9">
        <w:rPr>
          <w:rStyle w:val="ref"/>
        </w:rPr>
        <w:t>[</w:t>
      </w:r>
      <w:r w:rsidR="00474668" w:rsidRPr="00172DC9">
        <w:rPr>
          <w:rStyle w:val="ref"/>
        </w:rPr>
        <w:t>9</w:t>
      </w:r>
      <w:r w:rsidR="0027464D" w:rsidRPr="00172DC9">
        <w:rPr>
          <w:rStyle w:val="ref"/>
        </w:rPr>
        <w:t>]</w:t>
      </w:r>
      <w:r w:rsidR="00474668" w:rsidRPr="00174B5A">
        <w:t xml:space="preserve">. </w:t>
      </w:r>
      <w:r w:rsidR="00287990" w:rsidRPr="00174B5A">
        <w:t>Therefore, a</w:t>
      </w:r>
      <w:r w:rsidR="00F01EB2" w:rsidRPr="00174B5A">
        <w:t>rterial hypertension is</w:t>
      </w:r>
      <w:r w:rsidR="006F3005" w:rsidRPr="00174B5A">
        <w:t xml:space="preserve"> without doubt</w:t>
      </w:r>
      <w:r w:rsidR="00F01EB2" w:rsidRPr="00174B5A">
        <w:t xml:space="preserve"> one of the widespread diseases nowadays</w:t>
      </w:r>
      <w:r w:rsidR="006F3005" w:rsidRPr="00174B5A">
        <w:t xml:space="preserve"> and a</w:t>
      </w:r>
      <w:r w:rsidR="00F01EB2" w:rsidRPr="00174B5A">
        <w:t xml:space="preserve">lso one of the most underestimated diseases. </w:t>
      </w:r>
      <w:r w:rsidR="006F3005" w:rsidRPr="00174B5A">
        <w:t>I</w:t>
      </w:r>
      <w:r w:rsidR="00F01EB2" w:rsidRPr="00174B5A">
        <w:t xml:space="preserve">t is </w:t>
      </w:r>
      <w:r w:rsidR="006F3005" w:rsidRPr="00174B5A">
        <w:t>a</w:t>
      </w:r>
      <w:r w:rsidR="00952D99" w:rsidRPr="00174B5A">
        <w:t xml:space="preserve"> known</w:t>
      </w:r>
      <w:r w:rsidR="006F3005" w:rsidRPr="00174B5A">
        <w:t xml:space="preserve"> fact</w:t>
      </w:r>
      <w:r w:rsidR="00F01EB2" w:rsidRPr="00174B5A">
        <w:t xml:space="preserve"> </w:t>
      </w:r>
      <w:r w:rsidR="00F01EB2" w:rsidRPr="00174B5A">
        <w:lastRenderedPageBreak/>
        <w:t xml:space="preserve">that the probability </w:t>
      </w:r>
      <w:r w:rsidR="004C6CB5" w:rsidRPr="00174B5A">
        <w:t>of</w:t>
      </w:r>
      <w:r w:rsidR="00F01EB2" w:rsidRPr="00174B5A">
        <w:t xml:space="preserve"> future cardiovascular complications </w:t>
      </w:r>
      <w:r w:rsidR="004C6CB5" w:rsidRPr="00174B5A">
        <w:t>rises</w:t>
      </w:r>
      <w:r w:rsidR="00F01EB2" w:rsidRPr="00174B5A">
        <w:t xml:space="preserve"> with increasing blood pressure </w:t>
      </w:r>
      <w:r w:rsidR="002B6A37" w:rsidRPr="00172DC9">
        <w:rPr>
          <w:rStyle w:val="ref"/>
        </w:rPr>
        <w:t>[</w:t>
      </w:r>
      <w:r w:rsidR="00474668" w:rsidRPr="00172DC9">
        <w:rPr>
          <w:rStyle w:val="ref"/>
        </w:rPr>
        <w:t>10, 17</w:t>
      </w:r>
      <w:r w:rsidR="00952D99" w:rsidRPr="00172DC9">
        <w:rPr>
          <w:rStyle w:val="ref"/>
        </w:rPr>
        <w:t>]</w:t>
      </w:r>
      <w:r w:rsidR="00952D99" w:rsidRPr="00174B5A">
        <w:t>. A</w:t>
      </w:r>
      <w:r w:rsidR="004C6CB5" w:rsidRPr="00174B5A">
        <w:t>lso</w:t>
      </w:r>
      <w:r w:rsidR="00F01EB2" w:rsidRPr="00174B5A">
        <w:t xml:space="preserve"> the risk of getting cardiovascular diseases </w:t>
      </w:r>
      <w:r w:rsidR="004C6CB5" w:rsidRPr="00174B5A">
        <w:t xml:space="preserve">already </w:t>
      </w:r>
      <w:r w:rsidR="00F01EB2" w:rsidRPr="00174B5A">
        <w:t xml:space="preserve">increases </w:t>
      </w:r>
      <w:r w:rsidR="00952D99" w:rsidRPr="00174B5A">
        <w:t>significantly</w:t>
      </w:r>
      <w:r w:rsidR="00F01EB2" w:rsidRPr="00174B5A">
        <w:t xml:space="preserve"> </w:t>
      </w:r>
      <w:r w:rsidR="004C6CB5" w:rsidRPr="00174B5A">
        <w:t>at the time of pre</w:t>
      </w:r>
      <w:r w:rsidR="00F01EB2" w:rsidRPr="00174B5A">
        <w:t xml:space="preserve">hypertension </w:t>
      </w:r>
      <w:r w:rsidR="004C6CB5" w:rsidRPr="00174B5A">
        <w:t>(120</w:t>
      </w:r>
      <w:r w:rsidR="00952D99" w:rsidRPr="00174B5A">
        <w:t> - </w:t>
      </w:r>
      <w:r w:rsidR="004C6CB5" w:rsidRPr="00174B5A">
        <w:t>139 </w:t>
      </w:r>
      <w:r w:rsidR="002B6A37" w:rsidRPr="00174B5A">
        <w:t>mmHg sy</w:t>
      </w:r>
      <w:r w:rsidR="004C6CB5" w:rsidRPr="00174B5A">
        <w:t>s; 80</w:t>
      </w:r>
      <w:r w:rsidR="00952D99" w:rsidRPr="00174B5A">
        <w:t> - </w:t>
      </w:r>
      <w:r w:rsidR="004C6CB5" w:rsidRPr="00174B5A">
        <w:t>89 </w:t>
      </w:r>
      <w:r w:rsidR="00F01EB2" w:rsidRPr="00174B5A">
        <w:t xml:space="preserve">mmHg dia) </w:t>
      </w:r>
      <w:r w:rsidR="002B6A37" w:rsidRPr="00172DC9">
        <w:rPr>
          <w:rStyle w:val="ref"/>
        </w:rPr>
        <w:t>[</w:t>
      </w:r>
      <w:r w:rsidR="00474668" w:rsidRPr="00172DC9">
        <w:rPr>
          <w:rStyle w:val="ref"/>
        </w:rPr>
        <w:t>19</w:t>
      </w:r>
      <w:r w:rsidR="002B6A37" w:rsidRPr="00172DC9">
        <w:rPr>
          <w:rStyle w:val="ref"/>
        </w:rPr>
        <w:t>]</w:t>
      </w:r>
      <w:r w:rsidR="002B6A37" w:rsidRPr="00174B5A">
        <w:t xml:space="preserve">. </w:t>
      </w:r>
      <w:r w:rsidR="00F01EB2" w:rsidRPr="00174B5A">
        <w:t xml:space="preserve">Examinations made by </w:t>
      </w:r>
      <w:r w:rsidR="002B6A37" w:rsidRPr="00174B5A">
        <w:t xml:space="preserve">Fikenzer et al. </w:t>
      </w:r>
      <w:r w:rsidR="005C4275" w:rsidRPr="00174B5A">
        <w:t xml:space="preserve">show that the prevalence of hypertension </w:t>
      </w:r>
      <w:r w:rsidR="004C6CB5" w:rsidRPr="00174B5A">
        <w:t>among</w:t>
      </w:r>
      <w:r w:rsidR="005C4275" w:rsidRPr="00174B5A">
        <w:t xml:space="preserve"> students from Leipzig </w:t>
      </w:r>
      <w:r w:rsidR="00FB550F" w:rsidRPr="00174B5A">
        <w:t>(</w:t>
      </w:r>
      <w:r w:rsidR="005C4275" w:rsidRPr="00174B5A">
        <w:t>age</w:t>
      </w:r>
      <w:r w:rsidR="00FB550F" w:rsidRPr="00174B5A">
        <w:t xml:space="preserve"> 20</w:t>
      </w:r>
      <w:r w:rsidR="00952D99" w:rsidRPr="00174B5A">
        <w:t> </w:t>
      </w:r>
      <w:r w:rsidR="00FB550F" w:rsidRPr="00174B5A">
        <w:t>-</w:t>
      </w:r>
      <w:r w:rsidR="00952D99" w:rsidRPr="00174B5A">
        <w:t> </w:t>
      </w:r>
      <w:r w:rsidR="00FB550F" w:rsidRPr="00174B5A">
        <w:t xml:space="preserve">30 </w:t>
      </w:r>
      <w:r w:rsidR="005C4275" w:rsidRPr="00174B5A">
        <w:t>years</w:t>
      </w:r>
      <w:r w:rsidR="00FB550F" w:rsidRPr="00174B5A">
        <w:t>)</w:t>
      </w:r>
      <w:r w:rsidR="002B6A37" w:rsidRPr="00174B5A">
        <w:t xml:space="preserve"> </w:t>
      </w:r>
      <w:r w:rsidR="005C4275" w:rsidRPr="00174B5A">
        <w:t>already lies at</w:t>
      </w:r>
      <w:r w:rsidR="002B6A37" w:rsidRPr="00174B5A">
        <w:t xml:space="preserve"> 22</w:t>
      </w:r>
      <w:r w:rsidR="005C4275" w:rsidRPr="00174B5A">
        <w:t>.</w:t>
      </w:r>
      <w:r w:rsidR="002B6A37" w:rsidRPr="00174B5A">
        <w:t>7</w:t>
      </w:r>
      <w:r w:rsidR="005C4275" w:rsidRPr="00174B5A">
        <w:t> </w:t>
      </w:r>
      <w:r w:rsidR="002B6A37" w:rsidRPr="00174B5A">
        <w:t xml:space="preserve">% </w:t>
      </w:r>
      <w:r w:rsidR="002B6A37" w:rsidRPr="00172DC9">
        <w:rPr>
          <w:rStyle w:val="ref"/>
        </w:rPr>
        <w:t>[</w:t>
      </w:r>
      <w:r w:rsidR="00474668" w:rsidRPr="00172DC9">
        <w:rPr>
          <w:rStyle w:val="ref"/>
        </w:rPr>
        <w:t>4</w:t>
      </w:r>
      <w:r w:rsidR="002B6A37" w:rsidRPr="00172DC9">
        <w:rPr>
          <w:rStyle w:val="ref"/>
        </w:rPr>
        <w:t>]</w:t>
      </w:r>
      <w:r w:rsidR="002B6A37" w:rsidRPr="00174B5A">
        <w:t>.</w:t>
      </w:r>
      <w:r w:rsidR="008C2F04" w:rsidRPr="00174B5A">
        <w:t xml:space="preserve"> </w:t>
      </w:r>
      <w:r w:rsidR="00934A41" w:rsidRPr="00174B5A">
        <w:t>Consequently</w:t>
      </w:r>
      <w:r w:rsidR="004C6CB5" w:rsidRPr="00174B5A">
        <w:t>,</w:t>
      </w:r>
      <w:r w:rsidR="005C4275" w:rsidRPr="00174B5A">
        <w:t xml:space="preserve"> </w:t>
      </w:r>
      <w:r w:rsidR="004C6CB5" w:rsidRPr="00174B5A">
        <w:t>considerations</w:t>
      </w:r>
      <w:r w:rsidR="005C4275" w:rsidRPr="00174B5A">
        <w:t xml:space="preserve"> on how the treatment could be modified, especially in the early stages of </w:t>
      </w:r>
      <w:r w:rsidR="004C6CB5" w:rsidRPr="00174B5A">
        <w:t>hypertension development, followed.</w:t>
      </w:r>
    </w:p>
    <w:p w:rsidR="003120F4" w:rsidRPr="00174B5A" w:rsidRDefault="00AD2784" w:rsidP="00AD2784">
      <w:pPr>
        <w:pStyle w:val="Headline-2"/>
        <w:sectPr w:rsidR="003120F4" w:rsidRPr="00174B5A">
          <w:headerReference w:type="even" r:id="rId16"/>
          <w:headerReference w:type="default" r:id="rId17"/>
          <w:headerReference w:type="first" r:id="rId18"/>
          <w:footnotePr>
            <w:pos w:val="beneathText"/>
          </w:footnotePr>
          <w:type w:val="continuous"/>
          <w:pgSz w:w="11905" w:h="16837"/>
          <w:pgMar w:top="1417" w:right="1417" w:bottom="1134" w:left="1417" w:header="708" w:footer="720" w:gutter="0"/>
          <w:cols w:space="709"/>
          <w:docGrid w:linePitch="360"/>
        </w:sectPr>
      </w:pPr>
      <w:r>
        <w:lastRenderedPageBreak/>
        <w:br w:type="page"/>
      </w:r>
      <w:r>
        <w:lastRenderedPageBreak/>
        <w:t>M</w:t>
      </w:r>
      <w:r w:rsidR="00F57C85" w:rsidRPr="00174B5A">
        <w:t>ethod</w:t>
      </w:r>
    </w:p>
    <w:p w:rsidR="00F57C85" w:rsidRPr="00174B5A" w:rsidRDefault="00D3175F" w:rsidP="004518BD">
      <w:pPr>
        <w:pStyle w:val="Headline-3"/>
        <w:spacing w:before="0"/>
      </w:pPr>
      <w:r w:rsidRPr="00174B5A">
        <w:lastRenderedPageBreak/>
        <w:t xml:space="preserve">Study </w:t>
      </w:r>
      <w:r w:rsidR="00FE7110" w:rsidRPr="00174B5A">
        <w:t>population</w:t>
      </w:r>
      <w:r w:rsidRPr="00174B5A">
        <w:t>/</w:t>
      </w:r>
      <w:r w:rsidR="0063283F" w:rsidRPr="00174B5A">
        <w:t>study design</w:t>
      </w:r>
      <w:r w:rsidR="00F57C85" w:rsidRPr="00174B5A">
        <w:t>:</w:t>
      </w:r>
    </w:p>
    <w:p w:rsidR="00640353" w:rsidRPr="00174B5A" w:rsidRDefault="0063283F" w:rsidP="00EA212D">
      <w:r w:rsidRPr="00174B5A">
        <w:t>In the scope of a long</w:t>
      </w:r>
      <w:r w:rsidR="00D3175F" w:rsidRPr="00174B5A">
        <w:t>-</w:t>
      </w:r>
      <w:r w:rsidRPr="00174B5A">
        <w:t xml:space="preserve">term study, blood pressure parameters of 240 students of the University of Leipzig were determined </w:t>
      </w:r>
      <w:r w:rsidR="00D3175F" w:rsidRPr="00174B5A">
        <w:t xml:space="preserve">by </w:t>
      </w:r>
      <w:r w:rsidR="00FE7110" w:rsidRPr="00174B5A">
        <w:t>taking</w:t>
      </w:r>
      <w:r w:rsidR="00D3175F" w:rsidRPr="00174B5A">
        <w:t xml:space="preserve"> the blood pressure at rest and</w:t>
      </w:r>
      <w:r w:rsidR="00B70630" w:rsidRPr="00174B5A">
        <w:t xml:space="preserve"> by</w:t>
      </w:r>
      <w:r w:rsidR="00D3175F" w:rsidRPr="00174B5A">
        <w:t xml:space="preserve"> 24h-</w:t>
      </w:r>
      <w:r w:rsidRPr="00174B5A">
        <w:t xml:space="preserve">blood pressure </w:t>
      </w:r>
      <w:r w:rsidR="00B70630" w:rsidRPr="00174B5A">
        <w:t>monitoring</w:t>
      </w:r>
      <w:r w:rsidRPr="00174B5A">
        <w:t>. The long</w:t>
      </w:r>
      <w:r w:rsidR="00B70630" w:rsidRPr="00174B5A">
        <w:t>-</w:t>
      </w:r>
      <w:r w:rsidRPr="00174B5A">
        <w:t xml:space="preserve">term blood pressure measurements were made </w:t>
      </w:r>
      <w:r w:rsidR="00F62C7D" w:rsidRPr="00174B5A">
        <w:t>due to the fact</w:t>
      </w:r>
      <w:r w:rsidR="000E3ED9" w:rsidRPr="00174B5A">
        <w:t xml:space="preserve"> that</w:t>
      </w:r>
      <w:r w:rsidRPr="00174B5A">
        <w:t xml:space="preserve"> blood pressure is a variable and repeated measurements under ever</w:t>
      </w:r>
      <w:r w:rsidR="000E3ED9" w:rsidRPr="00174B5A">
        <w:t>y</w:t>
      </w:r>
      <w:r w:rsidRPr="00174B5A">
        <w:t>day conditions</w:t>
      </w:r>
      <w:r w:rsidR="000E3ED9" w:rsidRPr="00174B5A">
        <w:t xml:space="preserve"> probably</w:t>
      </w:r>
      <w:r w:rsidRPr="00174B5A">
        <w:t xml:space="preserve"> </w:t>
      </w:r>
      <w:r w:rsidR="000E3ED9" w:rsidRPr="00174B5A">
        <w:t>give</w:t>
      </w:r>
      <w:r w:rsidRPr="00174B5A">
        <w:t xml:space="preserve"> detailed information</w:t>
      </w:r>
      <w:r w:rsidR="004728D3" w:rsidRPr="00174B5A">
        <w:t xml:space="preserve"> about the cardiovascular risk.</w:t>
      </w:r>
      <w:r w:rsidR="00D36DFE" w:rsidRPr="00174B5A">
        <w:t xml:space="preserve"> </w:t>
      </w:r>
      <w:r w:rsidR="004728D3" w:rsidRPr="00174B5A">
        <w:t xml:space="preserve">After </w:t>
      </w:r>
      <w:r w:rsidR="00F62C7D" w:rsidRPr="00174B5A">
        <w:t>intense screening, re</w:t>
      </w:r>
      <w:r w:rsidR="004728D3" w:rsidRPr="00174B5A">
        <w:t>measurements (n</w:t>
      </w:r>
      <w:r w:rsidR="00F62C7D" w:rsidRPr="00174B5A">
        <w:t> </w:t>
      </w:r>
      <w:r w:rsidR="004728D3" w:rsidRPr="00174B5A">
        <w:t>=</w:t>
      </w:r>
      <w:r w:rsidR="00F62C7D" w:rsidRPr="00174B5A">
        <w:t> </w:t>
      </w:r>
      <w:r w:rsidR="004728D3" w:rsidRPr="00174B5A">
        <w:t xml:space="preserve">36), </w:t>
      </w:r>
      <w:r w:rsidR="000E3ED9" w:rsidRPr="00174B5A">
        <w:t>medical consultation</w:t>
      </w:r>
      <w:r w:rsidR="004728D3" w:rsidRPr="00174B5A">
        <w:t xml:space="preserve"> and personal </w:t>
      </w:r>
      <w:r w:rsidR="000E3ED9" w:rsidRPr="00174B5A">
        <w:t>consent</w:t>
      </w:r>
      <w:r w:rsidR="004728D3" w:rsidRPr="00174B5A">
        <w:t xml:space="preserve">, 18 male </w:t>
      </w:r>
      <w:r w:rsidR="000E3ED9" w:rsidRPr="00174B5A">
        <w:t>participants</w:t>
      </w:r>
      <w:r w:rsidR="004728D3" w:rsidRPr="00174B5A">
        <w:t xml:space="preserve"> in total </w:t>
      </w:r>
      <w:r w:rsidR="00294C0B" w:rsidRPr="00174B5A">
        <w:t>were</w:t>
      </w:r>
      <w:r w:rsidR="004728D3" w:rsidRPr="00174B5A">
        <w:t xml:space="preserve"> assigned to </w:t>
      </w:r>
      <w:r w:rsidR="00294C0B" w:rsidRPr="00174B5A">
        <w:t>either intervention</w:t>
      </w:r>
      <w:r w:rsidR="004728D3" w:rsidRPr="00174B5A">
        <w:t xml:space="preserve"> (n</w:t>
      </w:r>
      <w:r w:rsidR="005F4FFC" w:rsidRPr="00174B5A">
        <w:t> </w:t>
      </w:r>
      <w:r w:rsidR="004728D3" w:rsidRPr="00174B5A">
        <w:t>=</w:t>
      </w:r>
      <w:r w:rsidR="005F4FFC" w:rsidRPr="00174B5A">
        <w:t> </w:t>
      </w:r>
      <w:r w:rsidR="004728D3" w:rsidRPr="00174B5A">
        <w:t>9) or control group (n</w:t>
      </w:r>
      <w:r w:rsidR="005F4FFC" w:rsidRPr="00174B5A">
        <w:t> </w:t>
      </w:r>
      <w:r w:rsidR="004728D3" w:rsidRPr="00174B5A">
        <w:t>=</w:t>
      </w:r>
      <w:r w:rsidR="005F4FFC" w:rsidRPr="00174B5A">
        <w:t> </w:t>
      </w:r>
      <w:r w:rsidR="004728D3" w:rsidRPr="00174B5A">
        <w:t>9)</w:t>
      </w:r>
      <w:r w:rsidR="0085715D" w:rsidRPr="00174B5A">
        <w:t>.</w:t>
      </w:r>
      <w:r w:rsidR="00E060F0" w:rsidRPr="00174B5A">
        <w:t xml:space="preserve"> </w:t>
      </w:r>
      <w:r w:rsidR="00E01125" w:rsidRPr="00174B5A">
        <w:t xml:space="preserve">The participants of both groups </w:t>
      </w:r>
      <w:r w:rsidR="00294C0B" w:rsidRPr="00174B5A">
        <w:t>were</w:t>
      </w:r>
      <w:r w:rsidR="00E01125" w:rsidRPr="00174B5A">
        <w:t xml:space="preserve"> between </w:t>
      </w:r>
      <w:r w:rsidR="00294C0B" w:rsidRPr="00174B5A">
        <w:t xml:space="preserve">the age of </w:t>
      </w:r>
      <w:r w:rsidR="00E01125" w:rsidRPr="00174B5A">
        <w:t>20 and 28 years</w:t>
      </w:r>
      <w:r w:rsidR="00294C0B" w:rsidRPr="00174B5A">
        <w:t xml:space="preserve">. In comparison to the limits </w:t>
      </w:r>
      <w:r w:rsidR="008938E5" w:rsidRPr="00174B5A">
        <w:t xml:space="preserve">for long-term blood pressure monitoring </w:t>
      </w:r>
      <w:r w:rsidR="00294C0B" w:rsidRPr="00174B5A">
        <w:t>set by the European Society of Hypertension</w:t>
      </w:r>
      <w:r w:rsidR="008938E5" w:rsidRPr="00174B5A">
        <w:t>,</w:t>
      </w:r>
      <w:r w:rsidR="00E01125" w:rsidRPr="00174B5A">
        <w:t xml:space="preserve"> </w:t>
      </w:r>
      <w:r w:rsidR="00294C0B" w:rsidRPr="00174B5A">
        <w:t>all of the</w:t>
      </w:r>
      <w:r w:rsidR="008938E5" w:rsidRPr="00174B5A">
        <w:t xml:space="preserve"> participants</w:t>
      </w:r>
      <w:r w:rsidR="00294C0B" w:rsidRPr="00174B5A">
        <w:t xml:space="preserve"> had elevated </w:t>
      </w:r>
      <w:r w:rsidR="00E01125" w:rsidRPr="00174B5A">
        <w:t xml:space="preserve">systolic blood pressure values </w:t>
      </w:r>
      <w:r w:rsidR="00D52FA6" w:rsidRPr="00172DC9">
        <w:rPr>
          <w:rStyle w:val="ref"/>
        </w:rPr>
        <w:t>[11</w:t>
      </w:r>
      <w:r w:rsidR="008938E5" w:rsidRPr="00172DC9">
        <w:rPr>
          <w:rStyle w:val="ref"/>
        </w:rPr>
        <w:t>]</w:t>
      </w:r>
      <w:r w:rsidR="00E060F0" w:rsidRPr="00174B5A">
        <w:t xml:space="preserve">. </w:t>
      </w:r>
      <w:r w:rsidR="003B2BD8" w:rsidRPr="00174B5A">
        <w:t xml:space="preserve">A local </w:t>
      </w:r>
      <w:r w:rsidR="008938E5" w:rsidRPr="00174B5A">
        <w:t>cardiologist classed t</w:t>
      </w:r>
      <w:r w:rsidR="00E01125" w:rsidRPr="00174B5A">
        <w:t xml:space="preserve">he participants of the intervention group </w:t>
      </w:r>
      <w:r w:rsidR="001706A6" w:rsidRPr="00174B5A">
        <w:t xml:space="preserve">as </w:t>
      </w:r>
      <w:r w:rsidR="00E01125" w:rsidRPr="00174B5A">
        <w:t>in need of treatment</w:t>
      </w:r>
      <w:r w:rsidR="00020C1B" w:rsidRPr="00174B5A">
        <w:t xml:space="preserve"> and</w:t>
      </w:r>
      <w:r w:rsidR="008938E5" w:rsidRPr="00174B5A">
        <w:t xml:space="preserve"> prescribed a low dosage of</w:t>
      </w:r>
      <w:r w:rsidR="00E01125" w:rsidRPr="00174B5A">
        <w:t xml:space="preserve"> </w:t>
      </w:r>
      <w:r w:rsidR="00020C1B" w:rsidRPr="00174B5A">
        <w:t xml:space="preserve">antihypertensive medication for a limited period of </w:t>
      </w:r>
      <w:r w:rsidR="00E01125" w:rsidRPr="00174B5A">
        <w:t>three or</w:t>
      </w:r>
      <w:r w:rsidR="00020C1B" w:rsidRPr="00174B5A">
        <w:t xml:space="preserve"> six months. </w:t>
      </w:r>
      <w:r w:rsidR="006B054C" w:rsidRPr="00174B5A">
        <w:t>Diovan 80/160</w:t>
      </w:r>
      <w:r w:rsidR="003B2BD8" w:rsidRPr="00174B5A">
        <w:t xml:space="preserve"> mg, Concor </w:t>
      </w:r>
      <w:bookmarkStart w:id="0" w:name="_GoBack"/>
      <w:bookmarkEnd w:id="0"/>
      <w:r w:rsidR="003B2BD8" w:rsidRPr="00174B5A">
        <w:t>1.25/2.</w:t>
      </w:r>
      <w:r w:rsidR="006B054C" w:rsidRPr="00174B5A">
        <w:t>5</w:t>
      </w:r>
      <w:r w:rsidR="003B2BD8" w:rsidRPr="00174B5A">
        <w:t> </w:t>
      </w:r>
      <w:r w:rsidR="00D52FA6" w:rsidRPr="00174B5A">
        <w:t>mg</w:t>
      </w:r>
      <w:r w:rsidR="006B054C" w:rsidRPr="00174B5A">
        <w:t xml:space="preserve"> </w:t>
      </w:r>
      <w:r w:rsidR="00E01125" w:rsidRPr="00174B5A">
        <w:t>and</w:t>
      </w:r>
      <w:r w:rsidR="006B054C" w:rsidRPr="00174B5A">
        <w:t xml:space="preserve"> Bisoprolol 5</w:t>
      </w:r>
      <w:r w:rsidR="003B2BD8" w:rsidRPr="00174B5A">
        <w:t> </w:t>
      </w:r>
      <w:r w:rsidR="006B054C" w:rsidRPr="00174B5A">
        <w:t xml:space="preserve">mg </w:t>
      </w:r>
      <w:r w:rsidR="00E01125" w:rsidRPr="00174B5A">
        <w:t>in a dos</w:t>
      </w:r>
      <w:r w:rsidR="00020C1B" w:rsidRPr="00174B5A">
        <w:t>age</w:t>
      </w:r>
      <w:r w:rsidR="00E01125" w:rsidRPr="00174B5A">
        <w:t xml:space="preserve"> of </w:t>
      </w:r>
      <w:r w:rsidR="00020C1B" w:rsidRPr="00174B5A">
        <w:t>half a tablet or one tablet</w:t>
      </w:r>
      <w:r w:rsidR="00E01125" w:rsidRPr="00174B5A">
        <w:t xml:space="preserve"> per day</w:t>
      </w:r>
      <w:r w:rsidR="00020C1B" w:rsidRPr="00174B5A">
        <w:t xml:space="preserve"> were used as medicines</w:t>
      </w:r>
      <w:r w:rsidR="00E01125" w:rsidRPr="00174B5A">
        <w:t>. After discontinu</w:t>
      </w:r>
      <w:r w:rsidR="00020C1B" w:rsidRPr="00174B5A">
        <w:t>ing medication</w:t>
      </w:r>
      <w:r w:rsidR="00E01125" w:rsidRPr="00174B5A">
        <w:t xml:space="preserve">, the blood pressure was observed </w:t>
      </w:r>
      <w:r w:rsidR="001706A6" w:rsidRPr="00174B5A">
        <w:t xml:space="preserve">for </w:t>
      </w:r>
      <w:r w:rsidR="00E01125" w:rsidRPr="00174B5A">
        <w:t xml:space="preserve">three </w:t>
      </w:r>
      <w:r w:rsidR="00020C1B" w:rsidRPr="00174B5A">
        <w:t xml:space="preserve">further </w:t>
      </w:r>
      <w:r w:rsidR="00E01125" w:rsidRPr="00174B5A">
        <w:t xml:space="preserve">months. </w:t>
      </w:r>
      <w:r w:rsidR="00F07E5B" w:rsidRPr="00174B5A">
        <w:t xml:space="preserve">The control group consisted of </w:t>
      </w:r>
      <w:r w:rsidR="00020C1B" w:rsidRPr="00174B5A">
        <w:t>people</w:t>
      </w:r>
      <w:r w:rsidR="00F07E5B" w:rsidRPr="00174B5A">
        <w:t xml:space="preserve">, who refused an intervention or of </w:t>
      </w:r>
      <w:r w:rsidR="00020C1B" w:rsidRPr="00174B5A">
        <w:t>people</w:t>
      </w:r>
      <w:r w:rsidR="00F07E5B" w:rsidRPr="00174B5A">
        <w:t xml:space="preserve"> with blood pressure that was </w:t>
      </w:r>
      <w:r w:rsidR="00020C1B" w:rsidRPr="00174B5A">
        <w:t>classed</w:t>
      </w:r>
      <w:r w:rsidR="00F07E5B" w:rsidRPr="00174B5A">
        <w:t xml:space="preserve"> as observable </w:t>
      </w:r>
      <w:r w:rsidR="00020C1B" w:rsidRPr="00174B5A">
        <w:t>by</w:t>
      </w:r>
      <w:r w:rsidR="00F07E5B" w:rsidRPr="00174B5A">
        <w:t xml:space="preserve"> the </w:t>
      </w:r>
      <w:r w:rsidR="00F07E5B" w:rsidRPr="00174B5A">
        <w:lastRenderedPageBreak/>
        <w:t xml:space="preserve">cardiologist. Those participants </w:t>
      </w:r>
      <w:r w:rsidR="00020C1B" w:rsidRPr="00174B5A">
        <w:t>received</w:t>
      </w:r>
      <w:r w:rsidR="00F07E5B" w:rsidRPr="00174B5A">
        <w:t xml:space="preserve"> no medic</w:t>
      </w:r>
      <w:r w:rsidR="00020C1B" w:rsidRPr="00174B5A">
        <w:t>ation</w:t>
      </w:r>
      <w:r w:rsidR="00F07E5B" w:rsidRPr="00174B5A">
        <w:t xml:space="preserve"> </w:t>
      </w:r>
      <w:r w:rsidR="00020C1B" w:rsidRPr="00174B5A">
        <w:t>during</w:t>
      </w:r>
      <w:r w:rsidR="00F07E5B" w:rsidRPr="00174B5A">
        <w:t xml:space="preserve"> the </w:t>
      </w:r>
      <w:r w:rsidR="004E471A" w:rsidRPr="00174B5A">
        <w:t>entire</w:t>
      </w:r>
      <w:r w:rsidR="00F07E5B" w:rsidRPr="00174B5A">
        <w:t xml:space="preserve"> period. The study was </w:t>
      </w:r>
      <w:r w:rsidR="001706A6" w:rsidRPr="00174B5A">
        <w:t>and open-label</w:t>
      </w:r>
      <w:r w:rsidR="004E471A" w:rsidRPr="00174B5A">
        <w:t xml:space="preserve"> study.</w:t>
      </w:r>
      <w:r w:rsidR="00F07E5B" w:rsidRPr="00174B5A">
        <w:t xml:space="preserve"> </w:t>
      </w:r>
      <w:r w:rsidR="007A26D3" w:rsidRPr="00174B5A">
        <w:t xml:space="preserve">All participants underwent 24h </w:t>
      </w:r>
      <w:r w:rsidR="00F07E5B" w:rsidRPr="00174B5A">
        <w:t>long</w:t>
      </w:r>
      <w:r w:rsidR="004E471A" w:rsidRPr="00174B5A">
        <w:t>-</w:t>
      </w:r>
      <w:r w:rsidR="00F07E5B" w:rsidRPr="00174B5A">
        <w:t xml:space="preserve">term blood pressure </w:t>
      </w:r>
      <w:r w:rsidR="004E471A" w:rsidRPr="00174B5A">
        <w:t>monitoring</w:t>
      </w:r>
      <w:r w:rsidR="00F07E5B" w:rsidRPr="00174B5A">
        <w:t xml:space="preserve"> at chosen control </w:t>
      </w:r>
      <w:r w:rsidR="007A26D3" w:rsidRPr="00174B5A">
        <w:t>points to</w:t>
      </w:r>
      <w:r w:rsidR="004E471A" w:rsidRPr="00174B5A">
        <w:t xml:space="preserve"> mark the </w:t>
      </w:r>
      <w:r w:rsidR="00CF575D" w:rsidRPr="00174B5A">
        <w:t>course</w:t>
      </w:r>
      <w:r w:rsidR="004E471A" w:rsidRPr="00174B5A">
        <w:t xml:space="preserve"> of the blood pressure parameters. </w:t>
      </w:r>
      <w:r w:rsidR="00F07E5B" w:rsidRPr="00174B5A">
        <w:t xml:space="preserve">In the scope of the analysis, several </w:t>
      </w:r>
      <w:r w:rsidR="009819F9" w:rsidRPr="00174B5A">
        <w:t>measurement</w:t>
      </w:r>
      <w:r w:rsidR="005E1D00" w:rsidRPr="00174B5A">
        <w:t xml:space="preserve"> errors</w:t>
      </w:r>
      <w:r w:rsidR="00F07E5B" w:rsidRPr="00174B5A">
        <w:t xml:space="preserve"> were identified and documented with the cardiologist. Additionally, the </w:t>
      </w:r>
      <w:r w:rsidR="00D93095" w:rsidRPr="00174B5A">
        <w:t xml:space="preserve">day and night </w:t>
      </w:r>
      <w:r w:rsidR="00F07E5B" w:rsidRPr="00174B5A">
        <w:t>values</w:t>
      </w:r>
      <w:r w:rsidR="00D93095" w:rsidRPr="00174B5A">
        <w:t xml:space="preserve"> were appropriately adapted according</w:t>
      </w:r>
      <w:r w:rsidR="00F07E5B" w:rsidRPr="00174B5A">
        <w:t xml:space="preserve"> </w:t>
      </w:r>
      <w:r w:rsidR="006910A9" w:rsidRPr="00174B5A">
        <w:t>to the activity and rest</w:t>
      </w:r>
      <w:r w:rsidR="00DE1550" w:rsidRPr="00174B5A">
        <w:t>ing phases</w:t>
      </w:r>
      <w:r w:rsidR="006910A9" w:rsidRPr="00174B5A">
        <w:t xml:space="preserve"> of the participants to define </w:t>
      </w:r>
      <w:r w:rsidR="00D93095" w:rsidRPr="00174B5A">
        <w:t>them</w:t>
      </w:r>
      <w:r w:rsidR="006910A9" w:rsidRPr="00174B5A">
        <w:t xml:space="preserve"> more precisely</w:t>
      </w:r>
      <w:r w:rsidR="00F07E5B" w:rsidRPr="00174B5A">
        <w:t>.</w:t>
      </w:r>
    </w:p>
    <w:p w:rsidR="006910A9" w:rsidRPr="00174B5A" w:rsidRDefault="00F07E5B" w:rsidP="004518BD">
      <w:pPr>
        <w:pStyle w:val="tabletitle"/>
      </w:pPr>
      <w:r w:rsidRPr="00174B5A">
        <w:t>Tab</w:t>
      </w:r>
      <w:r w:rsidR="00D40276" w:rsidRPr="00174B5A">
        <w:t xml:space="preserve">le </w:t>
      </w:r>
      <w:r w:rsidR="009F38EB">
        <w:t>1</w:t>
      </w:r>
      <w:r w:rsidR="00D40276" w:rsidRPr="00174B5A">
        <w:t xml:space="preserve"> </w:t>
      </w:r>
      <w:r w:rsidRPr="00174B5A">
        <w:t>basic characteristic of the study participants</w:t>
      </w:r>
    </w:p>
    <w:tbl>
      <w:tblPr>
        <w:tblW w:w="4253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06"/>
        <w:gridCol w:w="1407"/>
      </w:tblGrid>
      <w:tr w:rsidR="00F57C85" w:rsidRPr="00174B5A" w:rsidTr="00930143">
        <w:trPr>
          <w:cantSplit/>
          <w:trHeight w:val="239"/>
        </w:trPr>
        <w:tc>
          <w:tcPr>
            <w:tcW w:w="1440" w:type="dxa"/>
            <w:vAlign w:val="center"/>
          </w:tcPr>
          <w:p w:rsidR="00F57C85" w:rsidRPr="00AD2784" w:rsidRDefault="00F57C85" w:rsidP="002E7D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6" w:type="dxa"/>
            <w:vAlign w:val="center"/>
          </w:tcPr>
          <w:p w:rsidR="00F57C85" w:rsidRPr="00AD2784" w:rsidRDefault="00DA67AB" w:rsidP="004518BD">
            <w:pPr>
              <w:pStyle w:val="tablehead"/>
              <w:rPr>
                <w:i/>
              </w:rPr>
            </w:pPr>
            <w:r w:rsidRPr="00AD2784">
              <w:rPr>
                <w:i/>
              </w:rPr>
              <w:t>i</w:t>
            </w:r>
            <w:r w:rsidR="003A7461" w:rsidRPr="00AD2784">
              <w:rPr>
                <w:i/>
              </w:rPr>
              <w:t xml:space="preserve">ntervention group </w:t>
            </w:r>
            <w:r w:rsidRPr="00AD2784">
              <w:rPr>
                <w:i/>
              </w:rPr>
              <w:t>(n </w:t>
            </w:r>
            <w:r w:rsidR="00F57C85" w:rsidRPr="00AD2784">
              <w:rPr>
                <w:i/>
              </w:rPr>
              <w:t>=</w:t>
            </w:r>
            <w:r w:rsidRPr="00AD2784">
              <w:rPr>
                <w:i/>
              </w:rPr>
              <w:t> </w:t>
            </w:r>
            <w:r w:rsidR="008C3BA3" w:rsidRPr="00AD2784">
              <w:rPr>
                <w:i/>
              </w:rPr>
              <w:t>9</w:t>
            </w:r>
            <w:r w:rsidR="00F57C85" w:rsidRPr="00AD2784">
              <w:rPr>
                <w:i/>
              </w:rPr>
              <w:t>)</w:t>
            </w:r>
          </w:p>
        </w:tc>
        <w:tc>
          <w:tcPr>
            <w:tcW w:w="1407" w:type="dxa"/>
            <w:vAlign w:val="center"/>
          </w:tcPr>
          <w:p w:rsidR="00F57C85" w:rsidRPr="00AD2784" w:rsidRDefault="00DA67AB" w:rsidP="004518BD">
            <w:pPr>
              <w:pStyle w:val="tablehead"/>
              <w:rPr>
                <w:i/>
              </w:rPr>
            </w:pPr>
            <w:r w:rsidRPr="00AD2784">
              <w:rPr>
                <w:i/>
              </w:rPr>
              <w:t>c</w:t>
            </w:r>
            <w:r w:rsidR="003A7461" w:rsidRPr="00AD2784">
              <w:rPr>
                <w:i/>
              </w:rPr>
              <w:t>ontrol group</w:t>
            </w:r>
            <w:r w:rsidR="008C3BA3" w:rsidRPr="00AD2784">
              <w:rPr>
                <w:i/>
              </w:rPr>
              <w:t xml:space="preserve"> (n</w:t>
            </w:r>
            <w:r w:rsidRPr="00AD2784">
              <w:rPr>
                <w:i/>
              </w:rPr>
              <w:t> </w:t>
            </w:r>
            <w:r w:rsidR="008C3BA3" w:rsidRPr="00AD2784">
              <w:rPr>
                <w:i/>
              </w:rPr>
              <w:t>=</w:t>
            </w:r>
            <w:r w:rsidRPr="00AD2784">
              <w:rPr>
                <w:i/>
              </w:rPr>
              <w:t> </w:t>
            </w:r>
            <w:r w:rsidR="008C3BA3" w:rsidRPr="00AD2784">
              <w:rPr>
                <w:i/>
              </w:rPr>
              <w:t>9</w:t>
            </w:r>
            <w:r w:rsidR="00F57C85" w:rsidRPr="00AD2784">
              <w:rPr>
                <w:i/>
              </w:rPr>
              <w:t>)</w:t>
            </w:r>
          </w:p>
        </w:tc>
      </w:tr>
      <w:tr w:rsidR="00F57C85" w:rsidRPr="00174B5A" w:rsidTr="00930143">
        <w:trPr>
          <w:cantSplit/>
          <w:trHeight w:val="207"/>
        </w:trPr>
        <w:tc>
          <w:tcPr>
            <w:tcW w:w="1440" w:type="dxa"/>
            <w:shd w:val="clear" w:color="auto" w:fill="BED3EA"/>
            <w:vAlign w:val="center"/>
          </w:tcPr>
          <w:p w:rsidR="00F57C85" w:rsidRPr="00AD2784" w:rsidRDefault="00F57C85" w:rsidP="002E7D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BED3EA"/>
            <w:vAlign w:val="center"/>
          </w:tcPr>
          <w:p w:rsidR="00F57C85" w:rsidRPr="00174B5A" w:rsidRDefault="00F57C85" w:rsidP="002E7D47">
            <w:pPr>
              <w:snapToGrid w:val="0"/>
              <w:jc w:val="center"/>
            </w:pPr>
          </w:p>
        </w:tc>
        <w:tc>
          <w:tcPr>
            <w:tcW w:w="1407" w:type="dxa"/>
            <w:shd w:val="clear" w:color="auto" w:fill="BED3EA"/>
            <w:vAlign w:val="center"/>
          </w:tcPr>
          <w:p w:rsidR="00F57C85" w:rsidRPr="00174B5A" w:rsidRDefault="00F57C85" w:rsidP="002E7D47">
            <w:pPr>
              <w:snapToGrid w:val="0"/>
              <w:jc w:val="center"/>
            </w:pPr>
          </w:p>
        </w:tc>
      </w:tr>
      <w:tr w:rsidR="00D40276" w:rsidRPr="00174B5A" w:rsidTr="00930143">
        <w:trPr>
          <w:cantSplit/>
          <w:trHeight w:val="207"/>
        </w:trPr>
        <w:tc>
          <w:tcPr>
            <w:tcW w:w="1440" w:type="dxa"/>
            <w:shd w:val="clear" w:color="auto" w:fill="auto"/>
            <w:vAlign w:val="center"/>
          </w:tcPr>
          <w:p w:rsidR="00D40276" w:rsidRPr="00AD2784" w:rsidRDefault="00D40276" w:rsidP="00EA212D">
            <w:pPr>
              <w:pStyle w:val="tablehead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40276" w:rsidRPr="00174B5A" w:rsidRDefault="00D40276" w:rsidP="004518BD">
            <w:pPr>
              <w:pStyle w:val="tablecell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D40276" w:rsidRPr="00174B5A" w:rsidRDefault="00D40276" w:rsidP="004518BD">
            <w:pPr>
              <w:pStyle w:val="tablecell"/>
            </w:pPr>
          </w:p>
        </w:tc>
      </w:tr>
      <w:tr w:rsidR="00F57C85" w:rsidRPr="00174B5A" w:rsidTr="00930143">
        <w:trPr>
          <w:cantSplit/>
          <w:trHeight w:val="207"/>
        </w:trPr>
        <w:tc>
          <w:tcPr>
            <w:tcW w:w="1440" w:type="dxa"/>
            <w:vAlign w:val="center"/>
          </w:tcPr>
          <w:p w:rsidR="00F57C85" w:rsidRPr="00AD2784" w:rsidRDefault="00936A82" w:rsidP="00EA212D">
            <w:pPr>
              <w:pStyle w:val="tablehead"/>
              <w:rPr>
                <w:b/>
              </w:rPr>
            </w:pPr>
            <w:r w:rsidRPr="00AD2784">
              <w:rPr>
                <w:b/>
              </w:rPr>
              <w:t>a</w:t>
            </w:r>
            <w:r w:rsidR="003A7461" w:rsidRPr="00AD2784">
              <w:rPr>
                <w:b/>
              </w:rPr>
              <w:t>ge</w:t>
            </w:r>
            <w:r w:rsidR="00F57C85" w:rsidRPr="00AD2784">
              <w:rPr>
                <w:b/>
              </w:rPr>
              <w:t xml:space="preserve"> (</w:t>
            </w:r>
            <w:r w:rsidR="003A7461" w:rsidRPr="00AD2784">
              <w:rPr>
                <w:b/>
              </w:rPr>
              <w:t>years)</w:t>
            </w:r>
            <w:r w:rsidR="00F57C85" w:rsidRPr="009D6566">
              <w:rPr>
                <w:rStyle w:val="fn"/>
              </w:rPr>
              <w:t>*</w:t>
            </w:r>
          </w:p>
        </w:tc>
        <w:tc>
          <w:tcPr>
            <w:tcW w:w="1406" w:type="dxa"/>
            <w:vAlign w:val="center"/>
          </w:tcPr>
          <w:p w:rsidR="00F57C85" w:rsidRPr="00174B5A" w:rsidRDefault="003A7461" w:rsidP="004518BD">
            <w:pPr>
              <w:pStyle w:val="tablecell"/>
            </w:pPr>
            <w:r w:rsidRPr="00174B5A">
              <w:t>23.44</w:t>
            </w:r>
            <w:r w:rsidR="00721A89" w:rsidRPr="00174B5A">
              <w:t> ± </w:t>
            </w:r>
            <w:r w:rsidRPr="00174B5A">
              <w:t>2.</w:t>
            </w:r>
            <w:r w:rsidR="008C3BA3" w:rsidRPr="00174B5A">
              <w:t>7</w:t>
            </w:r>
          </w:p>
        </w:tc>
        <w:tc>
          <w:tcPr>
            <w:tcW w:w="1407" w:type="dxa"/>
            <w:vAlign w:val="center"/>
          </w:tcPr>
          <w:p w:rsidR="00F57C85" w:rsidRPr="00174B5A" w:rsidRDefault="00D80AE8" w:rsidP="004518BD">
            <w:pPr>
              <w:pStyle w:val="tablecell"/>
            </w:pPr>
            <w:r w:rsidRPr="00174B5A">
              <w:t>22.</w:t>
            </w:r>
            <w:r w:rsidR="008C3BA3" w:rsidRPr="00174B5A">
              <w:t>78</w:t>
            </w:r>
            <w:r w:rsidR="00721A89" w:rsidRPr="00174B5A">
              <w:t> ± </w:t>
            </w:r>
            <w:r w:rsidR="008C3BA3" w:rsidRPr="00174B5A">
              <w:t>1</w:t>
            </w:r>
            <w:r w:rsidRPr="00174B5A">
              <w:t>.</w:t>
            </w:r>
            <w:r w:rsidR="008C3BA3" w:rsidRPr="00174B5A">
              <w:t>99</w:t>
            </w:r>
          </w:p>
        </w:tc>
      </w:tr>
      <w:tr w:rsidR="00F57C85" w:rsidRPr="00174B5A" w:rsidTr="00930143">
        <w:trPr>
          <w:cantSplit/>
          <w:trHeight w:val="207"/>
        </w:trPr>
        <w:tc>
          <w:tcPr>
            <w:tcW w:w="1440" w:type="dxa"/>
            <w:vAlign w:val="center"/>
          </w:tcPr>
          <w:p w:rsidR="00F57C85" w:rsidRPr="00AD2784" w:rsidRDefault="00936A82" w:rsidP="00EA212D">
            <w:pPr>
              <w:pStyle w:val="tablehead"/>
              <w:rPr>
                <w:b/>
              </w:rPr>
            </w:pPr>
            <w:r w:rsidRPr="00AD2784">
              <w:rPr>
                <w:b/>
              </w:rPr>
              <w:t>h</w:t>
            </w:r>
            <w:r w:rsidR="003A7461" w:rsidRPr="00AD2784">
              <w:rPr>
                <w:b/>
              </w:rPr>
              <w:t>eight</w:t>
            </w:r>
            <w:r w:rsidR="00F57C85" w:rsidRPr="00AD2784">
              <w:rPr>
                <w:b/>
              </w:rPr>
              <w:t xml:space="preserve"> (cm)</w:t>
            </w:r>
            <w:r w:rsidR="00F57C85" w:rsidRPr="009D6566">
              <w:rPr>
                <w:rStyle w:val="fn"/>
              </w:rPr>
              <w:t>*</w:t>
            </w:r>
          </w:p>
        </w:tc>
        <w:tc>
          <w:tcPr>
            <w:tcW w:w="1406" w:type="dxa"/>
            <w:vAlign w:val="center"/>
          </w:tcPr>
          <w:p w:rsidR="00F57C85" w:rsidRPr="00174B5A" w:rsidRDefault="003A7461" w:rsidP="004518BD">
            <w:pPr>
              <w:pStyle w:val="tablecell"/>
            </w:pPr>
            <w:r w:rsidRPr="00174B5A">
              <w:t>179.</w:t>
            </w:r>
            <w:r w:rsidR="00721A89" w:rsidRPr="00174B5A">
              <w:t>00 </w:t>
            </w:r>
            <w:r w:rsidR="008C3BA3" w:rsidRPr="00174B5A">
              <w:t>±</w:t>
            </w:r>
            <w:r w:rsidR="00721A89" w:rsidRPr="00174B5A">
              <w:t> </w:t>
            </w:r>
            <w:r w:rsidR="008C3BA3" w:rsidRPr="00174B5A">
              <w:t>0</w:t>
            </w:r>
            <w:r w:rsidRPr="00174B5A">
              <w:t>.</w:t>
            </w:r>
            <w:r w:rsidR="008C3BA3" w:rsidRPr="00174B5A">
              <w:t>07</w:t>
            </w:r>
          </w:p>
        </w:tc>
        <w:tc>
          <w:tcPr>
            <w:tcW w:w="1407" w:type="dxa"/>
            <w:vAlign w:val="center"/>
          </w:tcPr>
          <w:p w:rsidR="00F57C85" w:rsidRPr="00174B5A" w:rsidRDefault="008C3BA3" w:rsidP="004518BD">
            <w:pPr>
              <w:pStyle w:val="tablecell"/>
            </w:pPr>
            <w:r w:rsidRPr="00174B5A">
              <w:t>181</w:t>
            </w:r>
            <w:r w:rsidR="00D80AE8" w:rsidRPr="00174B5A">
              <w:t>.</w:t>
            </w:r>
            <w:r w:rsidRPr="00174B5A">
              <w:t>00</w:t>
            </w:r>
            <w:r w:rsidR="00721A89" w:rsidRPr="00174B5A">
              <w:t> </w:t>
            </w:r>
            <w:r w:rsidRPr="00174B5A">
              <w:t>±</w:t>
            </w:r>
            <w:r w:rsidR="00721A89" w:rsidRPr="00174B5A">
              <w:t> </w:t>
            </w:r>
            <w:r w:rsidRPr="00174B5A">
              <w:t>0</w:t>
            </w:r>
            <w:r w:rsidR="00D80AE8" w:rsidRPr="00174B5A">
              <w:t>.</w:t>
            </w:r>
            <w:r w:rsidRPr="00174B5A">
              <w:t>06</w:t>
            </w:r>
          </w:p>
        </w:tc>
      </w:tr>
      <w:tr w:rsidR="00F57C85" w:rsidRPr="00174B5A" w:rsidTr="00930143">
        <w:trPr>
          <w:cantSplit/>
          <w:trHeight w:val="207"/>
        </w:trPr>
        <w:tc>
          <w:tcPr>
            <w:tcW w:w="1440" w:type="dxa"/>
            <w:vAlign w:val="center"/>
          </w:tcPr>
          <w:p w:rsidR="00F57C85" w:rsidRPr="00AD2784" w:rsidRDefault="00936A82" w:rsidP="00EA212D">
            <w:pPr>
              <w:pStyle w:val="tablehead"/>
              <w:rPr>
                <w:b/>
              </w:rPr>
            </w:pPr>
            <w:r w:rsidRPr="00AD2784">
              <w:rPr>
                <w:b/>
              </w:rPr>
              <w:t>w</w:t>
            </w:r>
            <w:r w:rsidR="003A7461" w:rsidRPr="00AD2784">
              <w:rPr>
                <w:b/>
              </w:rPr>
              <w:t>eight</w:t>
            </w:r>
            <w:r w:rsidR="00F57C85" w:rsidRPr="00AD2784">
              <w:rPr>
                <w:b/>
              </w:rPr>
              <w:t xml:space="preserve"> (kg)</w:t>
            </w:r>
            <w:r w:rsidR="00F57C85" w:rsidRPr="009D6566">
              <w:rPr>
                <w:rStyle w:val="fn"/>
              </w:rPr>
              <w:t>*</w:t>
            </w:r>
          </w:p>
        </w:tc>
        <w:tc>
          <w:tcPr>
            <w:tcW w:w="1406" w:type="dxa"/>
            <w:vAlign w:val="center"/>
          </w:tcPr>
          <w:p w:rsidR="00F57C85" w:rsidRPr="00174B5A" w:rsidRDefault="00721A89" w:rsidP="004518BD">
            <w:pPr>
              <w:pStyle w:val="tablecell"/>
            </w:pPr>
            <w:r w:rsidRPr="00174B5A">
              <w:t>77.21 ± </w:t>
            </w:r>
            <w:r w:rsidR="003A7461" w:rsidRPr="00174B5A">
              <w:t>9.</w:t>
            </w:r>
            <w:r w:rsidR="008C3BA3" w:rsidRPr="00174B5A">
              <w:t>03</w:t>
            </w:r>
          </w:p>
        </w:tc>
        <w:tc>
          <w:tcPr>
            <w:tcW w:w="1407" w:type="dxa"/>
            <w:vAlign w:val="center"/>
          </w:tcPr>
          <w:p w:rsidR="00F57C85" w:rsidRPr="00174B5A" w:rsidRDefault="00721A89" w:rsidP="004518BD">
            <w:pPr>
              <w:pStyle w:val="tablecell"/>
            </w:pPr>
            <w:r w:rsidRPr="00174B5A">
              <w:t>79.01 ± </w:t>
            </w:r>
            <w:r w:rsidR="00D80AE8" w:rsidRPr="00174B5A">
              <w:t>10.</w:t>
            </w:r>
            <w:r w:rsidR="008C3BA3" w:rsidRPr="00174B5A">
              <w:t>74</w:t>
            </w:r>
          </w:p>
        </w:tc>
      </w:tr>
      <w:tr w:rsidR="00F57C85" w:rsidRPr="00174B5A" w:rsidTr="00930143">
        <w:trPr>
          <w:cantSplit/>
          <w:trHeight w:val="207"/>
        </w:trPr>
        <w:tc>
          <w:tcPr>
            <w:tcW w:w="1440" w:type="dxa"/>
            <w:vAlign w:val="center"/>
          </w:tcPr>
          <w:p w:rsidR="00F57C85" w:rsidRPr="00AD2784" w:rsidRDefault="00F57C85" w:rsidP="00EA212D">
            <w:pPr>
              <w:pStyle w:val="tablehead"/>
              <w:rPr>
                <w:b/>
              </w:rPr>
            </w:pPr>
            <w:r w:rsidRPr="00AD2784">
              <w:rPr>
                <w:b/>
              </w:rPr>
              <w:t>BMI (kg/m</w:t>
            </w:r>
            <w:proofErr w:type="gramStart"/>
            <w:r w:rsidRPr="00AD2784">
              <w:rPr>
                <w:b/>
              </w:rPr>
              <w:t>²)</w:t>
            </w:r>
            <w:r w:rsidRPr="009D6566">
              <w:rPr>
                <w:rStyle w:val="fn"/>
              </w:rPr>
              <w:t>*</w:t>
            </w:r>
            <w:proofErr w:type="gramEnd"/>
          </w:p>
        </w:tc>
        <w:tc>
          <w:tcPr>
            <w:tcW w:w="1406" w:type="dxa"/>
            <w:vAlign w:val="center"/>
          </w:tcPr>
          <w:p w:rsidR="00F57C85" w:rsidRPr="00174B5A" w:rsidRDefault="00721A89" w:rsidP="004518BD">
            <w:pPr>
              <w:pStyle w:val="tablecell"/>
            </w:pPr>
            <w:r w:rsidRPr="00174B5A">
              <w:t>23.99 ± </w:t>
            </w:r>
            <w:r w:rsidR="003A7461" w:rsidRPr="00174B5A">
              <w:t>1.</w:t>
            </w:r>
            <w:r w:rsidR="008C3BA3" w:rsidRPr="00174B5A">
              <w:t>77</w:t>
            </w:r>
          </w:p>
        </w:tc>
        <w:tc>
          <w:tcPr>
            <w:tcW w:w="1407" w:type="dxa"/>
            <w:vAlign w:val="center"/>
          </w:tcPr>
          <w:p w:rsidR="00F57C85" w:rsidRPr="00174B5A" w:rsidRDefault="00D80AE8" w:rsidP="004518BD">
            <w:pPr>
              <w:pStyle w:val="tablecell"/>
            </w:pPr>
            <w:r w:rsidRPr="00174B5A">
              <w:t>24.15</w:t>
            </w:r>
            <w:r w:rsidR="00721A89" w:rsidRPr="00174B5A">
              <w:t> ± </w:t>
            </w:r>
            <w:r w:rsidRPr="00174B5A">
              <w:t>2.</w:t>
            </w:r>
            <w:r w:rsidR="008C3BA3" w:rsidRPr="00174B5A">
              <w:t>15</w:t>
            </w:r>
          </w:p>
        </w:tc>
      </w:tr>
      <w:tr w:rsidR="009A7230" w:rsidRPr="00174B5A" w:rsidTr="00930143">
        <w:trPr>
          <w:cantSplit/>
          <w:trHeight w:val="70"/>
        </w:trPr>
        <w:tc>
          <w:tcPr>
            <w:tcW w:w="1440" w:type="dxa"/>
            <w:vAlign w:val="center"/>
          </w:tcPr>
          <w:p w:rsidR="009A7230" w:rsidRPr="00AD2784" w:rsidRDefault="009A7230" w:rsidP="00EA212D">
            <w:pPr>
              <w:pStyle w:val="tablehead"/>
              <w:rPr>
                <w:b/>
              </w:rPr>
            </w:pPr>
            <w:r w:rsidRPr="00AD2784">
              <w:rPr>
                <w:b/>
              </w:rPr>
              <w:t>24h-RR SYS</w:t>
            </w:r>
            <w:r w:rsidR="00AA1A9A" w:rsidRPr="00AD2784">
              <w:rPr>
                <w:b/>
              </w:rPr>
              <w:t xml:space="preserve">, </w:t>
            </w:r>
            <w:r w:rsidR="005E4E2D" w:rsidRPr="00AD2784">
              <w:rPr>
                <w:b/>
              </w:rPr>
              <w:t>average</w:t>
            </w:r>
            <w:r w:rsidR="00AA1A9A" w:rsidRPr="00AD2784">
              <w:rPr>
                <w:b/>
              </w:rPr>
              <w:t xml:space="preserve"> </w:t>
            </w:r>
            <w:r w:rsidRPr="00AD2784">
              <w:rPr>
                <w:b/>
              </w:rPr>
              <w:t>(mmHg)</w:t>
            </w:r>
            <w:r w:rsidRPr="009D6566">
              <w:rPr>
                <w:rStyle w:val="fn"/>
              </w:rPr>
              <w:t>*</w:t>
            </w:r>
          </w:p>
        </w:tc>
        <w:tc>
          <w:tcPr>
            <w:tcW w:w="1406" w:type="dxa"/>
            <w:vAlign w:val="center"/>
          </w:tcPr>
          <w:p w:rsidR="009A7230" w:rsidRPr="00174B5A" w:rsidRDefault="009A7230" w:rsidP="004518BD">
            <w:pPr>
              <w:pStyle w:val="tablecell"/>
            </w:pPr>
            <w:r w:rsidRPr="00174B5A">
              <w:t>141</w:t>
            </w:r>
            <w:r w:rsidR="003A7461" w:rsidRPr="00174B5A">
              <w:t>.</w:t>
            </w:r>
            <w:r w:rsidRPr="00174B5A">
              <w:t>26</w:t>
            </w:r>
            <w:r w:rsidR="00721A89" w:rsidRPr="00174B5A">
              <w:t> </w:t>
            </w:r>
            <w:r w:rsidRPr="00174B5A">
              <w:t>±</w:t>
            </w:r>
            <w:r w:rsidR="00721A89" w:rsidRPr="00174B5A">
              <w:t> </w:t>
            </w:r>
            <w:r w:rsidRPr="00174B5A">
              <w:t>8</w:t>
            </w:r>
            <w:r w:rsidR="003A7461" w:rsidRPr="00174B5A">
              <w:t>.</w:t>
            </w:r>
            <w:r w:rsidRPr="00174B5A">
              <w:t>02</w:t>
            </w:r>
          </w:p>
        </w:tc>
        <w:tc>
          <w:tcPr>
            <w:tcW w:w="1407" w:type="dxa"/>
            <w:vAlign w:val="center"/>
          </w:tcPr>
          <w:p w:rsidR="009A7230" w:rsidRPr="00174B5A" w:rsidRDefault="009A7230" w:rsidP="004518BD">
            <w:pPr>
              <w:pStyle w:val="tablecell"/>
            </w:pPr>
            <w:r w:rsidRPr="00174B5A">
              <w:t>137</w:t>
            </w:r>
            <w:r w:rsidR="00D80AE8" w:rsidRPr="00174B5A">
              <w:t>.</w:t>
            </w:r>
            <w:r w:rsidRPr="00174B5A">
              <w:t>32</w:t>
            </w:r>
            <w:r w:rsidR="00721A89" w:rsidRPr="00174B5A">
              <w:t> </w:t>
            </w:r>
            <w:r w:rsidRPr="00174B5A">
              <w:t>±</w:t>
            </w:r>
            <w:r w:rsidR="00721A89" w:rsidRPr="00174B5A">
              <w:t> </w:t>
            </w:r>
            <w:r w:rsidRPr="00174B5A">
              <w:t>2</w:t>
            </w:r>
            <w:r w:rsidR="00D80AE8" w:rsidRPr="00174B5A">
              <w:t>.</w:t>
            </w:r>
            <w:r w:rsidRPr="00174B5A">
              <w:t>74</w:t>
            </w:r>
          </w:p>
        </w:tc>
      </w:tr>
      <w:tr w:rsidR="009A7230" w:rsidRPr="00174B5A" w:rsidTr="00930143">
        <w:trPr>
          <w:cantSplit/>
          <w:trHeight w:val="70"/>
        </w:trPr>
        <w:tc>
          <w:tcPr>
            <w:tcW w:w="1440" w:type="dxa"/>
            <w:vAlign w:val="center"/>
          </w:tcPr>
          <w:p w:rsidR="009A7230" w:rsidRPr="00AD2784" w:rsidRDefault="009A7230" w:rsidP="005E7B66">
            <w:pPr>
              <w:pStyle w:val="tabhead"/>
            </w:pPr>
            <w:r w:rsidRPr="00AD2784">
              <w:t>24h-RR DIA</w:t>
            </w:r>
            <w:r w:rsidR="00AA1A9A" w:rsidRPr="00AD2784">
              <w:t xml:space="preserve">, </w:t>
            </w:r>
            <w:r w:rsidR="005E4E2D" w:rsidRPr="00AD2784">
              <w:t>average</w:t>
            </w:r>
            <w:r w:rsidR="00AA1A9A" w:rsidRPr="00AD2784">
              <w:t xml:space="preserve"> </w:t>
            </w:r>
            <w:r w:rsidRPr="00AD2784">
              <w:t>(mmHg)</w:t>
            </w:r>
            <w:r w:rsidRPr="009D6566">
              <w:rPr>
                <w:rStyle w:val="fn"/>
              </w:rPr>
              <w:t>*</w:t>
            </w:r>
          </w:p>
        </w:tc>
        <w:tc>
          <w:tcPr>
            <w:tcW w:w="1406" w:type="dxa"/>
            <w:vAlign w:val="center"/>
          </w:tcPr>
          <w:p w:rsidR="009A7230" w:rsidRPr="00174B5A" w:rsidRDefault="003A7461" w:rsidP="004518BD">
            <w:pPr>
              <w:pStyle w:val="tablecell"/>
            </w:pPr>
            <w:r w:rsidRPr="00174B5A">
              <w:t>74.55</w:t>
            </w:r>
            <w:r w:rsidR="00721A89" w:rsidRPr="00174B5A">
              <w:t> ± </w:t>
            </w:r>
            <w:r w:rsidRPr="00174B5A">
              <w:t>4.</w:t>
            </w:r>
            <w:r w:rsidR="009A7230" w:rsidRPr="00174B5A">
              <w:t>50</w:t>
            </w:r>
          </w:p>
        </w:tc>
        <w:tc>
          <w:tcPr>
            <w:tcW w:w="1407" w:type="dxa"/>
            <w:vAlign w:val="center"/>
          </w:tcPr>
          <w:p w:rsidR="009A7230" w:rsidRPr="00174B5A" w:rsidRDefault="00D80AE8" w:rsidP="004518BD">
            <w:pPr>
              <w:pStyle w:val="tablecell"/>
            </w:pPr>
            <w:r w:rsidRPr="00174B5A">
              <w:t>73.90</w:t>
            </w:r>
            <w:r w:rsidR="00721A89" w:rsidRPr="00174B5A">
              <w:t> ± </w:t>
            </w:r>
            <w:r w:rsidRPr="00174B5A">
              <w:t>3.</w:t>
            </w:r>
            <w:r w:rsidR="009A7230" w:rsidRPr="00174B5A">
              <w:t>56</w:t>
            </w:r>
          </w:p>
        </w:tc>
      </w:tr>
      <w:tr w:rsidR="009A7230" w:rsidRPr="00174B5A" w:rsidTr="00930143">
        <w:trPr>
          <w:cantSplit/>
          <w:trHeight w:val="70"/>
        </w:trPr>
        <w:tc>
          <w:tcPr>
            <w:tcW w:w="1440" w:type="dxa"/>
            <w:vAlign w:val="center"/>
          </w:tcPr>
          <w:p w:rsidR="009A7230" w:rsidRPr="00AD2784" w:rsidRDefault="009A7230" w:rsidP="00EA212D">
            <w:pPr>
              <w:pStyle w:val="tablehead"/>
              <w:rPr>
                <w:b/>
              </w:rPr>
            </w:pPr>
            <w:r w:rsidRPr="00AD2784">
              <w:rPr>
                <w:b/>
              </w:rPr>
              <w:t>24h-</w:t>
            </w:r>
            <w:r w:rsidR="00AA1A9A" w:rsidRPr="00AD2784">
              <w:rPr>
                <w:b/>
              </w:rPr>
              <w:t xml:space="preserve">HR, </w:t>
            </w:r>
            <w:r w:rsidR="005E4E2D" w:rsidRPr="00AD2784">
              <w:rPr>
                <w:b/>
              </w:rPr>
              <w:t>average</w:t>
            </w:r>
            <w:r w:rsidR="00AA1A9A" w:rsidRPr="00AD2784">
              <w:rPr>
                <w:b/>
              </w:rPr>
              <w:t xml:space="preserve"> </w:t>
            </w:r>
            <w:r w:rsidRPr="00AD2784">
              <w:rPr>
                <w:b/>
              </w:rPr>
              <w:t>(S/</w:t>
            </w:r>
            <w:proofErr w:type="gramStart"/>
            <w:r w:rsidRPr="00AD2784">
              <w:rPr>
                <w:b/>
              </w:rPr>
              <w:t>min)</w:t>
            </w:r>
            <w:r w:rsidRPr="009D6566">
              <w:rPr>
                <w:rStyle w:val="fn"/>
              </w:rPr>
              <w:t>*</w:t>
            </w:r>
            <w:proofErr w:type="gramEnd"/>
          </w:p>
        </w:tc>
        <w:tc>
          <w:tcPr>
            <w:tcW w:w="1406" w:type="dxa"/>
            <w:vAlign w:val="center"/>
          </w:tcPr>
          <w:p w:rsidR="009A7230" w:rsidRPr="00174B5A" w:rsidRDefault="003A7461" w:rsidP="004518BD">
            <w:pPr>
              <w:pStyle w:val="tablecell"/>
            </w:pPr>
            <w:r w:rsidRPr="00174B5A">
              <w:t>67.</w:t>
            </w:r>
            <w:r w:rsidR="00721A89" w:rsidRPr="00174B5A">
              <w:t>52 </w:t>
            </w:r>
            <w:r w:rsidR="009A7230" w:rsidRPr="00174B5A">
              <w:t>±</w:t>
            </w:r>
            <w:r w:rsidR="00721A89" w:rsidRPr="00174B5A">
              <w:t> </w:t>
            </w:r>
            <w:r w:rsidR="009A7230" w:rsidRPr="00174B5A">
              <w:t>7</w:t>
            </w:r>
            <w:r w:rsidRPr="00174B5A">
              <w:t>.</w:t>
            </w:r>
            <w:r w:rsidR="009A7230" w:rsidRPr="00174B5A">
              <w:t>63</w:t>
            </w:r>
          </w:p>
        </w:tc>
        <w:tc>
          <w:tcPr>
            <w:tcW w:w="1407" w:type="dxa"/>
            <w:vAlign w:val="center"/>
          </w:tcPr>
          <w:p w:rsidR="009A7230" w:rsidRPr="00174B5A" w:rsidRDefault="00721A89" w:rsidP="004518BD">
            <w:pPr>
              <w:pStyle w:val="tablecell"/>
            </w:pPr>
            <w:r w:rsidRPr="00174B5A">
              <w:t>66.54 </w:t>
            </w:r>
            <w:r w:rsidR="00D80AE8" w:rsidRPr="00174B5A">
              <w:t>±</w:t>
            </w:r>
            <w:r w:rsidRPr="00174B5A">
              <w:t> </w:t>
            </w:r>
            <w:r w:rsidR="00D80AE8" w:rsidRPr="00174B5A">
              <w:t>5.</w:t>
            </w:r>
            <w:r w:rsidR="009A7230" w:rsidRPr="00174B5A">
              <w:t>90</w:t>
            </w:r>
          </w:p>
        </w:tc>
      </w:tr>
      <w:tr w:rsidR="00F57C85" w:rsidRPr="00174B5A" w:rsidTr="00930143">
        <w:trPr>
          <w:cantSplit/>
          <w:trHeight w:val="207"/>
        </w:trPr>
        <w:tc>
          <w:tcPr>
            <w:tcW w:w="1440" w:type="dxa"/>
            <w:vAlign w:val="center"/>
          </w:tcPr>
          <w:p w:rsidR="00F57C85" w:rsidRPr="00AD2784" w:rsidRDefault="00902D40" w:rsidP="00EA212D">
            <w:pPr>
              <w:pStyle w:val="tablehead"/>
              <w:rPr>
                <w:b/>
              </w:rPr>
            </w:pPr>
            <w:r w:rsidRPr="00AD2784">
              <w:rPr>
                <w:b/>
              </w:rPr>
              <w:t>s</w:t>
            </w:r>
            <w:r w:rsidR="00A324F2" w:rsidRPr="00AD2784">
              <w:rPr>
                <w:b/>
              </w:rPr>
              <w:t>ports</w:t>
            </w:r>
            <w:r w:rsidRPr="00AD2784">
              <w:rPr>
                <w:b/>
              </w:rPr>
              <w:t xml:space="preserve"> activity</w:t>
            </w:r>
            <w:r w:rsidR="00A324F2" w:rsidRPr="00AD2784">
              <w:rPr>
                <w:b/>
              </w:rPr>
              <w:t xml:space="preserve"> per week</w:t>
            </w:r>
            <w:r w:rsidR="00F57C85" w:rsidRPr="00AD2784">
              <w:rPr>
                <w:b/>
              </w:rPr>
              <w:t xml:space="preserve"> in h</w:t>
            </w:r>
          </w:p>
        </w:tc>
        <w:tc>
          <w:tcPr>
            <w:tcW w:w="1406" w:type="dxa"/>
            <w:vAlign w:val="center"/>
          </w:tcPr>
          <w:p w:rsidR="00F57C85" w:rsidRPr="00174B5A" w:rsidRDefault="003A7461" w:rsidP="004518BD">
            <w:pPr>
              <w:pStyle w:val="tablecell"/>
            </w:pPr>
            <w:r w:rsidRPr="00174B5A">
              <w:t>9.</w:t>
            </w:r>
            <w:r w:rsidR="00721A89" w:rsidRPr="00174B5A">
              <w:t>5 </w:t>
            </w:r>
            <w:r w:rsidR="00F57C85" w:rsidRPr="00174B5A">
              <w:t>±</w:t>
            </w:r>
            <w:r w:rsidR="00721A89" w:rsidRPr="00174B5A">
              <w:t> </w:t>
            </w:r>
            <w:r w:rsidR="009A7230" w:rsidRPr="00174B5A">
              <w:t>6</w:t>
            </w:r>
            <w:r w:rsidRPr="00174B5A">
              <w:t>.</w:t>
            </w:r>
            <w:r w:rsidR="009A7230" w:rsidRPr="00174B5A">
              <w:t>6</w:t>
            </w:r>
          </w:p>
        </w:tc>
        <w:tc>
          <w:tcPr>
            <w:tcW w:w="1407" w:type="dxa"/>
            <w:vAlign w:val="center"/>
          </w:tcPr>
          <w:p w:rsidR="00F57C85" w:rsidRPr="00174B5A" w:rsidRDefault="00D80AE8" w:rsidP="004518BD">
            <w:pPr>
              <w:pStyle w:val="tablecell"/>
            </w:pPr>
            <w:r w:rsidRPr="00174B5A">
              <w:t>7.</w:t>
            </w:r>
            <w:r w:rsidR="00721A89" w:rsidRPr="00174B5A">
              <w:t>8 </w:t>
            </w:r>
            <w:r w:rsidR="00F57C85" w:rsidRPr="00174B5A">
              <w:t>±</w:t>
            </w:r>
            <w:r w:rsidR="00721A89" w:rsidRPr="00174B5A">
              <w:t> </w:t>
            </w:r>
            <w:r w:rsidRPr="00174B5A">
              <w:t>3.</w:t>
            </w:r>
            <w:r w:rsidR="009A7230" w:rsidRPr="00174B5A">
              <w:t>5</w:t>
            </w:r>
          </w:p>
        </w:tc>
      </w:tr>
    </w:tbl>
    <w:p w:rsidR="00E426C9" w:rsidRPr="00174B5A" w:rsidRDefault="00F57C85" w:rsidP="00C65DD8">
      <w:pPr>
        <w:pStyle w:val="tablesub"/>
        <w:sectPr w:rsidR="00E426C9" w:rsidRPr="00174B5A">
          <w:footnotePr>
            <w:pos w:val="beneathText"/>
          </w:footnotePr>
          <w:type w:val="continuous"/>
          <w:pgSz w:w="11905" w:h="16837"/>
          <w:pgMar w:top="1417" w:right="1417" w:bottom="1134" w:left="1417" w:header="708" w:footer="720" w:gutter="0"/>
          <w:cols w:num="2" w:space="709"/>
          <w:docGrid w:linePitch="360"/>
        </w:sectPr>
      </w:pPr>
      <w:r w:rsidRPr="00174B5A">
        <w:t xml:space="preserve">* </w:t>
      </w:r>
      <w:r w:rsidR="005E4E2D" w:rsidRPr="00174B5A">
        <w:t>average</w:t>
      </w:r>
      <w:r w:rsidR="00D80AE8" w:rsidRPr="00174B5A">
        <w:t xml:space="preserve"> value and standard deviation in the study </w:t>
      </w:r>
      <w:r w:rsidR="00AA1A9A" w:rsidRPr="00174B5A">
        <w:t>population</w:t>
      </w:r>
    </w:p>
    <w:p w:rsidR="00E426C9" w:rsidRPr="00174B5A" w:rsidRDefault="00E426C9" w:rsidP="00E426C9">
      <w:pPr>
        <w:sectPr w:rsidR="00E426C9" w:rsidRPr="00174B5A">
          <w:footnotePr>
            <w:pos w:val="beneathText"/>
          </w:footnotePr>
          <w:type w:val="continuous"/>
          <w:pgSz w:w="11905" w:h="16837"/>
          <w:pgMar w:top="1417" w:right="1417" w:bottom="1134" w:left="1417" w:header="708" w:footer="720" w:gutter="0"/>
          <w:cols w:num="2" w:space="709"/>
          <w:docGrid w:linePitch="360"/>
        </w:sectPr>
      </w:pPr>
    </w:p>
    <w:p w:rsidR="00E426C9" w:rsidRPr="00174B5A" w:rsidRDefault="006C7D6C" w:rsidP="006C7D6C">
      <w:pPr>
        <w:pStyle w:val="figure"/>
      </w:pPr>
      <w:r w:rsidRPr="006C7D6C">
        <w:rPr>
          <w:noProof/>
          <w:lang w:val="en-US" w:eastAsia="en-US"/>
        </w:rPr>
        <w:lastRenderedPageBreak/>
        <w:drawing>
          <wp:inline distT="0" distB="0" distL="0" distR="0">
            <wp:extent cx="5760085" cy="817880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6C9" w:rsidRPr="00174B5A" w:rsidRDefault="00E426C9" w:rsidP="004518BD">
      <w:pPr>
        <w:pStyle w:val="figuretitle"/>
        <w:sectPr w:rsidR="00E426C9" w:rsidRPr="00174B5A" w:rsidSect="00E426C9">
          <w:footnotePr>
            <w:pos w:val="beneathText"/>
          </w:footnotePr>
          <w:type w:val="continuous"/>
          <w:pgSz w:w="11905" w:h="16837"/>
          <w:pgMar w:top="1417" w:right="1417" w:bottom="1134" w:left="1417" w:header="708" w:footer="720" w:gutter="0"/>
          <w:cols w:space="709"/>
          <w:docGrid w:linePitch="360"/>
        </w:sectPr>
      </w:pPr>
      <w:r w:rsidRPr="00174B5A">
        <w:t>fig. 1: temp</w:t>
      </w:r>
      <w:r w:rsidR="004518BD" w:rsidRPr="00174B5A">
        <w:t>oralpattern of the examination</w:t>
      </w:r>
    </w:p>
    <w:p w:rsidR="00F57C85" w:rsidRPr="00174B5A" w:rsidRDefault="00990C2A" w:rsidP="00DC6EE3">
      <w:pPr>
        <w:pStyle w:val="Headline-3"/>
        <w:spacing w:before="0"/>
      </w:pPr>
      <w:r w:rsidRPr="00174B5A">
        <w:lastRenderedPageBreak/>
        <w:t>Study</w:t>
      </w:r>
      <w:r w:rsidR="00D80AE8" w:rsidRPr="00174B5A">
        <w:t xml:space="preserve"> procedure</w:t>
      </w:r>
      <w:r w:rsidR="00F57C85" w:rsidRPr="00174B5A">
        <w:t>:</w:t>
      </w:r>
    </w:p>
    <w:p w:rsidR="00532D26" w:rsidRPr="00174B5A" w:rsidRDefault="00D80AE8" w:rsidP="004518BD">
      <w:r w:rsidRPr="00174B5A">
        <w:t xml:space="preserve">The </w:t>
      </w:r>
      <w:r w:rsidR="00A00681" w:rsidRPr="00174B5A">
        <w:t>sample</w:t>
      </w:r>
      <w:r w:rsidRPr="00174B5A">
        <w:t xml:space="preserve"> period </w:t>
      </w:r>
      <w:r w:rsidR="00990C2A" w:rsidRPr="00174B5A">
        <w:t>began in</w:t>
      </w:r>
      <w:r w:rsidRPr="00174B5A">
        <w:t xml:space="preserve"> May</w:t>
      </w:r>
      <w:r w:rsidR="00E060F0" w:rsidRPr="00174B5A">
        <w:t xml:space="preserve"> 2009 </w:t>
      </w:r>
      <w:r w:rsidR="00990C2A" w:rsidRPr="00174B5A">
        <w:t>and lasted until</w:t>
      </w:r>
      <w:r w:rsidR="00E060F0" w:rsidRPr="00174B5A">
        <w:t xml:space="preserve"> Februar</w:t>
      </w:r>
      <w:r w:rsidRPr="00174B5A">
        <w:t>y</w:t>
      </w:r>
      <w:r w:rsidR="00E060F0" w:rsidRPr="00174B5A">
        <w:t xml:space="preserve"> 2012. </w:t>
      </w:r>
      <w:r w:rsidRPr="00174B5A">
        <w:t xml:space="preserve">In the scope of the study, the participants of the intervention group </w:t>
      </w:r>
      <w:r w:rsidR="00A00681" w:rsidRPr="00174B5A">
        <w:t>underwent</w:t>
      </w:r>
      <w:r w:rsidRPr="00174B5A">
        <w:t xml:space="preserve"> six long</w:t>
      </w:r>
      <w:r w:rsidR="00A00681" w:rsidRPr="00174B5A">
        <w:t>-</w:t>
      </w:r>
      <w:r w:rsidRPr="00174B5A">
        <w:t xml:space="preserve">term blood pressure </w:t>
      </w:r>
      <w:r w:rsidR="00A00681" w:rsidRPr="00174B5A">
        <w:t>monitorings</w:t>
      </w:r>
      <w:r w:rsidRPr="00174B5A">
        <w:t xml:space="preserve"> and the participants of the control group four. </w:t>
      </w:r>
      <w:r w:rsidR="009819F9" w:rsidRPr="00174B5A">
        <w:t>T</w:t>
      </w:r>
      <w:r w:rsidR="00212FAD" w:rsidRPr="00174B5A">
        <w:t xml:space="preserve">he time pattern </w:t>
      </w:r>
      <w:r w:rsidR="009819F9" w:rsidRPr="00174B5A">
        <w:t xml:space="preserve">in </w:t>
      </w:r>
      <w:r w:rsidR="009819F9" w:rsidRPr="003E4728">
        <w:rPr>
          <w:rStyle w:val="fig"/>
        </w:rPr>
        <w:t>figure 1</w:t>
      </w:r>
      <w:r w:rsidR="009819F9" w:rsidRPr="00174B5A">
        <w:t xml:space="preserve"> </w:t>
      </w:r>
      <w:r w:rsidR="00212FAD" w:rsidRPr="00174B5A">
        <w:t>shows t</w:t>
      </w:r>
      <w:r w:rsidRPr="00174B5A">
        <w:t>he</w:t>
      </w:r>
      <w:r w:rsidR="00212FAD" w:rsidRPr="00174B5A">
        <w:t xml:space="preserve"> division of the</w:t>
      </w:r>
      <w:r w:rsidRPr="00174B5A">
        <w:t xml:space="preserve"> 24h</w:t>
      </w:r>
      <w:r w:rsidR="00990C2A" w:rsidRPr="00174B5A">
        <w:t xml:space="preserve"> </w:t>
      </w:r>
      <w:r w:rsidRPr="00174B5A">
        <w:t xml:space="preserve">blood pressure </w:t>
      </w:r>
      <w:r w:rsidR="00212FAD" w:rsidRPr="00174B5A">
        <w:t>measurements</w:t>
      </w:r>
      <w:r w:rsidR="00E060F0" w:rsidRPr="00174B5A">
        <w:t>.</w:t>
      </w:r>
      <w:r w:rsidRPr="00174B5A">
        <w:t xml:space="preserve"> </w:t>
      </w:r>
      <w:r w:rsidR="001B2E7D" w:rsidRPr="00174B5A">
        <w:t xml:space="preserve">At the beginning, the blood pressure of </w:t>
      </w:r>
      <w:r w:rsidR="00235E25" w:rsidRPr="00174B5A">
        <w:t xml:space="preserve">almost all participants </w:t>
      </w:r>
      <w:r w:rsidR="001B2E7D" w:rsidRPr="00174B5A">
        <w:t>was taken twice</w:t>
      </w:r>
      <w:r w:rsidRPr="00174B5A">
        <w:t xml:space="preserve">. </w:t>
      </w:r>
      <w:r w:rsidR="001B2E7D" w:rsidRPr="00174B5A">
        <w:t>Thes</w:t>
      </w:r>
      <w:r w:rsidRPr="00174B5A">
        <w:t xml:space="preserve">e measurements </w:t>
      </w:r>
      <w:r w:rsidR="00235E25" w:rsidRPr="00174B5A">
        <w:t>represent</w:t>
      </w:r>
      <w:r w:rsidRPr="00174B5A">
        <w:t xml:space="preserve"> the </w:t>
      </w:r>
      <w:r w:rsidR="00235E25" w:rsidRPr="00174B5A">
        <w:t>starting point</w:t>
      </w:r>
      <w:r w:rsidRPr="00174B5A">
        <w:t xml:space="preserve">. After the documentation of the </w:t>
      </w:r>
      <w:r w:rsidR="001B2E7D" w:rsidRPr="00174B5A">
        <w:t>baseline values, the informing and the</w:t>
      </w:r>
      <w:r w:rsidR="00235E25" w:rsidRPr="00174B5A">
        <w:t xml:space="preserve"> consent</w:t>
      </w:r>
      <w:r w:rsidRPr="00174B5A">
        <w:t xml:space="preserve"> of the participants, the </w:t>
      </w:r>
      <w:r w:rsidR="001B2E7D" w:rsidRPr="00174B5A">
        <w:t>use</w:t>
      </w:r>
      <w:r w:rsidR="00235E25" w:rsidRPr="00174B5A">
        <w:t xml:space="preserve"> of medication</w:t>
      </w:r>
      <w:r w:rsidRPr="00174B5A">
        <w:t xml:space="preserve"> </w:t>
      </w:r>
      <w:r w:rsidR="00EC75E5" w:rsidRPr="00174B5A">
        <w:t xml:space="preserve">followed </w:t>
      </w:r>
      <w:r w:rsidR="00640353" w:rsidRPr="00174B5A">
        <w:t>for</w:t>
      </w:r>
      <w:r w:rsidR="00EC75E5" w:rsidRPr="00174B5A">
        <w:t xml:space="preserve"> the </w:t>
      </w:r>
      <w:r w:rsidR="00235E25" w:rsidRPr="00174B5A">
        <w:t>period set by th</w:t>
      </w:r>
      <w:r w:rsidR="00E426C9" w:rsidRPr="00174B5A">
        <w:t xml:space="preserve">e </w:t>
      </w:r>
      <w:r w:rsidR="00640353" w:rsidRPr="00174B5A">
        <w:t>physician. During this period</w:t>
      </w:r>
      <w:r w:rsidR="00F366C8" w:rsidRPr="00174B5A">
        <w:t>,</w:t>
      </w:r>
      <w:r w:rsidR="00640353" w:rsidRPr="00174B5A">
        <w:t xml:space="preserve"> two further 24h blood pressure monitorings were performed. </w:t>
      </w:r>
      <w:r w:rsidR="00A324F2" w:rsidRPr="00174B5A">
        <w:t xml:space="preserve">The first measurement took place after one month to control the </w:t>
      </w:r>
      <w:r w:rsidR="00235E25" w:rsidRPr="00174B5A">
        <w:t>medication</w:t>
      </w:r>
      <w:r w:rsidR="00A324F2" w:rsidRPr="00174B5A">
        <w:t xml:space="preserve">. The next measurement was </w:t>
      </w:r>
      <w:r w:rsidR="00640353" w:rsidRPr="00174B5A">
        <w:t>perfomed</w:t>
      </w:r>
      <w:r w:rsidR="00A324F2" w:rsidRPr="00174B5A">
        <w:t xml:space="preserve"> after three or six months at the </w:t>
      </w:r>
      <w:r w:rsidR="009516E3" w:rsidRPr="00174B5A">
        <w:t>end</w:t>
      </w:r>
      <w:r w:rsidR="00A324F2" w:rsidRPr="00174B5A">
        <w:t xml:space="preserve"> of the in</w:t>
      </w:r>
      <w:r w:rsidR="00372EEA" w:rsidRPr="00174B5A">
        <w:t xml:space="preserve">tervention </w:t>
      </w:r>
      <w:r w:rsidR="00A324F2" w:rsidRPr="00174B5A">
        <w:t xml:space="preserve">when the patients were still taking </w:t>
      </w:r>
      <w:r w:rsidR="00372EEA" w:rsidRPr="00174B5A">
        <w:t>medication</w:t>
      </w:r>
      <w:r w:rsidR="00A324F2" w:rsidRPr="00174B5A">
        <w:t>.</w:t>
      </w:r>
      <w:r w:rsidR="00372EEA" w:rsidRPr="00174B5A">
        <w:t xml:space="preserve"> Afterwards</w:t>
      </w:r>
      <w:r w:rsidR="006527CC" w:rsidRPr="00174B5A">
        <w:t>, the participants di</w:t>
      </w:r>
      <w:r w:rsidR="009516E3" w:rsidRPr="00174B5A">
        <w:t>scontinued the antihypertensive medication</w:t>
      </w:r>
      <w:r w:rsidR="006527CC" w:rsidRPr="00174B5A">
        <w:t xml:space="preserve"> </w:t>
      </w:r>
      <w:r w:rsidR="00374D6F" w:rsidRPr="00174B5A">
        <w:t>according</w:t>
      </w:r>
      <w:r w:rsidR="006527CC" w:rsidRPr="00174B5A">
        <w:t xml:space="preserve"> to medical</w:t>
      </w:r>
      <w:r w:rsidR="00F53DF0" w:rsidRPr="00174B5A">
        <w:t xml:space="preserve"> prescriptions</w:t>
      </w:r>
      <w:r w:rsidR="006527CC" w:rsidRPr="00174B5A">
        <w:t>. Two further 24</w:t>
      </w:r>
      <w:r w:rsidR="006D3C75" w:rsidRPr="00174B5A">
        <w:t xml:space="preserve">h </w:t>
      </w:r>
      <w:r w:rsidR="00F53DF0" w:rsidRPr="00174B5A">
        <w:t>blood pressure monitorings we</w:t>
      </w:r>
      <w:r w:rsidR="006527CC" w:rsidRPr="00174B5A">
        <w:t xml:space="preserve">re </w:t>
      </w:r>
      <w:r w:rsidR="00374D6F" w:rsidRPr="00174B5A">
        <w:t>performed</w:t>
      </w:r>
      <w:r w:rsidR="006527CC" w:rsidRPr="00174B5A">
        <w:t xml:space="preserve"> to document the </w:t>
      </w:r>
      <w:r w:rsidR="00374D6F" w:rsidRPr="00174B5A">
        <w:t>subsequent effects. They</w:t>
      </w:r>
      <w:r w:rsidR="00F53DF0" w:rsidRPr="00174B5A">
        <w:t xml:space="preserve"> were carried out one and three </w:t>
      </w:r>
      <w:r w:rsidR="006527CC" w:rsidRPr="00174B5A">
        <w:t>month</w:t>
      </w:r>
      <w:r w:rsidR="00F53DF0" w:rsidRPr="00174B5A">
        <w:t>s</w:t>
      </w:r>
      <w:r w:rsidR="006527CC" w:rsidRPr="00174B5A">
        <w:t xml:space="preserve"> after </w:t>
      </w:r>
      <w:r w:rsidR="00F53DF0" w:rsidRPr="00174B5A">
        <w:t xml:space="preserve">discontinuing the medication. </w:t>
      </w:r>
      <w:r w:rsidR="00B17CE2" w:rsidRPr="00174B5A">
        <w:t xml:space="preserve">The </w:t>
      </w:r>
      <w:r w:rsidR="00F53DF0" w:rsidRPr="00174B5A">
        <w:t>participants</w:t>
      </w:r>
      <w:r w:rsidR="00B17CE2" w:rsidRPr="00174B5A">
        <w:t xml:space="preserve"> of the control group repeated the long</w:t>
      </w:r>
      <w:r w:rsidR="00F53DF0" w:rsidRPr="00174B5A">
        <w:t>-</w:t>
      </w:r>
      <w:r w:rsidR="00B17CE2" w:rsidRPr="00174B5A">
        <w:t xml:space="preserve">term blood pressure </w:t>
      </w:r>
      <w:r w:rsidR="00F53DF0" w:rsidRPr="00174B5A">
        <w:t xml:space="preserve">monitorings </w:t>
      </w:r>
      <w:r w:rsidR="00B17CE2" w:rsidRPr="00174B5A">
        <w:t>three or six months (secon</w:t>
      </w:r>
      <w:r w:rsidR="00236872" w:rsidRPr="00174B5A">
        <w:t xml:space="preserve">d </w:t>
      </w:r>
      <w:r w:rsidR="00236872" w:rsidRPr="00174B5A">
        <w:lastRenderedPageBreak/>
        <w:t>measurement) after the inital measurement</w:t>
      </w:r>
      <w:r w:rsidR="00B17CE2" w:rsidRPr="00174B5A">
        <w:t xml:space="preserve">. The different </w:t>
      </w:r>
      <w:r w:rsidR="00236872" w:rsidRPr="00174B5A">
        <w:t>measurement</w:t>
      </w:r>
      <w:r w:rsidR="008C20AE" w:rsidRPr="00174B5A">
        <w:t xml:space="preserve"> dates</w:t>
      </w:r>
      <w:r w:rsidR="00B17CE2" w:rsidRPr="00174B5A">
        <w:t xml:space="preserve"> result from the different </w:t>
      </w:r>
      <w:r w:rsidR="00236872" w:rsidRPr="00174B5A">
        <w:t xml:space="preserve">periods </w:t>
      </w:r>
      <w:r w:rsidR="008C20AE" w:rsidRPr="00174B5A">
        <w:t>of</w:t>
      </w:r>
      <w:r w:rsidR="00236872" w:rsidRPr="00174B5A">
        <w:t xml:space="preserve"> medication </w:t>
      </w:r>
      <w:r w:rsidR="008C20AE" w:rsidRPr="00174B5A">
        <w:t>intake</w:t>
      </w:r>
      <w:r w:rsidR="00236872" w:rsidRPr="00174B5A">
        <w:t xml:space="preserve"> in the</w:t>
      </w:r>
      <w:r w:rsidR="00B17CE2" w:rsidRPr="00174B5A">
        <w:t xml:space="preserve"> </w:t>
      </w:r>
      <w:r w:rsidR="00236872" w:rsidRPr="00174B5A">
        <w:t xml:space="preserve">intervention group. The date </w:t>
      </w:r>
      <w:r w:rsidR="00B17CE2" w:rsidRPr="00174B5A">
        <w:t xml:space="preserve">of the second measurement was </w:t>
      </w:r>
      <w:r w:rsidR="00236872" w:rsidRPr="00174B5A">
        <w:t>randomly assigned</w:t>
      </w:r>
      <w:r w:rsidR="00B17CE2" w:rsidRPr="00174B5A">
        <w:t xml:space="preserve"> to the participants of the control</w:t>
      </w:r>
      <w:r w:rsidR="00236872" w:rsidRPr="00174B5A">
        <w:t xml:space="preserve"> group</w:t>
      </w:r>
      <w:r w:rsidR="00B17CE2" w:rsidRPr="00174B5A">
        <w:t xml:space="preserve"> for </w:t>
      </w:r>
      <w:r w:rsidR="008C20AE" w:rsidRPr="00174B5A">
        <w:t>being comparable with</w:t>
      </w:r>
      <w:r w:rsidR="00B17CE2" w:rsidRPr="00174B5A">
        <w:t xml:space="preserve"> the intervention group. A further long</w:t>
      </w:r>
      <w:r w:rsidR="00236872" w:rsidRPr="00174B5A">
        <w:t>-</w:t>
      </w:r>
      <w:r w:rsidR="00B17CE2" w:rsidRPr="00174B5A">
        <w:t xml:space="preserve">term measurement (third measurement) </w:t>
      </w:r>
      <w:r w:rsidR="00236872" w:rsidRPr="00174B5A">
        <w:t>followed</w:t>
      </w:r>
      <w:r w:rsidR="00B17CE2" w:rsidRPr="00174B5A">
        <w:t xml:space="preserve"> three months after the second one.</w:t>
      </w:r>
    </w:p>
    <w:p w:rsidR="0089286A" w:rsidRPr="00174B5A" w:rsidRDefault="00211F20" w:rsidP="004518BD">
      <w:pPr>
        <w:pStyle w:val="Headline-3"/>
        <w:spacing w:before="0"/>
      </w:pPr>
      <w:r w:rsidRPr="00174B5A">
        <w:t>Statistic</w:t>
      </w:r>
      <w:r w:rsidR="00F57C85" w:rsidRPr="00174B5A">
        <w:t>:</w:t>
      </w:r>
    </w:p>
    <w:p w:rsidR="00B75891" w:rsidRPr="00174B5A" w:rsidRDefault="00B17CE2" w:rsidP="00AD2784">
      <w:pPr>
        <w:sectPr w:rsidR="00B75891" w:rsidRPr="00174B5A">
          <w:footnotePr>
            <w:pos w:val="beneathText"/>
          </w:footnotePr>
          <w:type w:val="continuous"/>
          <w:pgSz w:w="11905" w:h="16837"/>
          <w:pgMar w:top="1417" w:right="1417" w:bottom="1134" w:left="1417" w:header="708" w:footer="720" w:gutter="0"/>
          <w:cols w:num="2" w:space="709"/>
          <w:docGrid w:linePitch="360"/>
        </w:sectPr>
      </w:pPr>
      <w:r w:rsidRPr="00174B5A">
        <w:t xml:space="preserve">All statistical evaluations were made with the programs </w:t>
      </w:r>
      <w:r w:rsidR="00F57C85" w:rsidRPr="00174B5A">
        <w:t xml:space="preserve">SPSS 15.0 (SPSS Inc., Illinois, USA) </w:t>
      </w:r>
      <w:r w:rsidRPr="00174B5A">
        <w:t>and</w:t>
      </w:r>
      <w:r w:rsidR="00F57C85" w:rsidRPr="00174B5A">
        <w:t xml:space="preserve"> GraphPad Prism 6.0 (GraphPad Software Inc., California, USA).</w:t>
      </w:r>
      <w:r w:rsidR="00872E5D" w:rsidRPr="00174B5A">
        <w:t xml:space="preserve"> </w:t>
      </w:r>
      <w:r w:rsidR="00014473" w:rsidRPr="00174B5A">
        <w:t>Due to</w:t>
      </w:r>
      <w:r w:rsidRPr="00174B5A">
        <w:t xml:space="preserve"> the distribution requirements</w:t>
      </w:r>
      <w:r w:rsidR="00014473" w:rsidRPr="00174B5A">
        <w:t xml:space="preserve"> that could not be met</w:t>
      </w:r>
      <w:r w:rsidRPr="00174B5A">
        <w:t xml:space="preserve"> and the </w:t>
      </w:r>
      <w:r w:rsidR="00B53B91" w:rsidRPr="00174B5A">
        <w:t>small</w:t>
      </w:r>
      <w:r w:rsidR="00364159" w:rsidRPr="00174B5A">
        <w:t xml:space="preserve"> sample size, non</w:t>
      </w:r>
      <w:r w:rsidRPr="00174B5A">
        <w:t xml:space="preserve">parametric tests were </w:t>
      </w:r>
      <w:r w:rsidR="00364159" w:rsidRPr="00174B5A">
        <w:t>used</w:t>
      </w:r>
      <w:r w:rsidRPr="00174B5A">
        <w:t>.</w:t>
      </w:r>
      <w:r w:rsidR="00F57C85" w:rsidRPr="00174B5A">
        <w:t xml:space="preserve"> </w:t>
      </w:r>
      <w:r w:rsidRPr="00174B5A">
        <w:t xml:space="preserve">The comparison of the parameters </w:t>
      </w:r>
      <w:r w:rsidR="00364159" w:rsidRPr="00174B5A">
        <w:t>with regard to</w:t>
      </w:r>
      <w:r w:rsidRPr="00174B5A">
        <w:t xml:space="preserve"> their central tendency between the single measurements was made </w:t>
      </w:r>
      <w:r w:rsidR="00986BBD" w:rsidRPr="00174B5A">
        <w:t>with the help of</w:t>
      </w:r>
      <w:r w:rsidRPr="00174B5A">
        <w:t xml:space="preserve"> </w:t>
      </w:r>
      <w:r w:rsidR="00364159" w:rsidRPr="00174B5A">
        <w:t>Friedman’s</w:t>
      </w:r>
      <w:r w:rsidRPr="00174B5A">
        <w:t xml:space="preserve"> </w:t>
      </w:r>
      <w:r w:rsidR="00014473" w:rsidRPr="00174B5A">
        <w:t>rank variance analysis</w:t>
      </w:r>
      <w:r w:rsidRPr="00174B5A">
        <w:t>.</w:t>
      </w:r>
      <w:r w:rsidR="00986BBD" w:rsidRPr="00174B5A">
        <w:t xml:space="preserve"> For this</w:t>
      </w:r>
      <w:r w:rsidR="00B1085C" w:rsidRPr="00174B5A">
        <w:t xml:space="preserve"> reason,</w:t>
      </w:r>
      <w:r w:rsidRPr="00174B5A">
        <w:t xml:space="preserve"> the critical difference according to Schaich &amp; Hamerle</w:t>
      </w:r>
      <w:r w:rsidR="00F57C85" w:rsidRPr="00174B5A">
        <w:t xml:space="preserve"> (1984; </w:t>
      </w:r>
      <w:r w:rsidRPr="00174B5A">
        <w:t>according to</w:t>
      </w:r>
      <w:r w:rsidR="00F57C85" w:rsidRPr="00174B5A">
        <w:t xml:space="preserve"> Bortz et al., 2000) </w:t>
      </w:r>
      <w:r w:rsidRPr="00174B5A">
        <w:t xml:space="preserve">was determined by using the </w:t>
      </w:r>
      <w:r w:rsidR="00F57C85" w:rsidRPr="00174B5A">
        <w:t>Χr²-</w:t>
      </w:r>
      <w:r w:rsidR="002F48A3" w:rsidRPr="00174B5A">
        <w:t>value</w:t>
      </w:r>
      <w:r w:rsidRPr="00174B5A">
        <w:t xml:space="preserve"> of the</w:t>
      </w:r>
      <w:r w:rsidR="00C041AA" w:rsidRPr="00174B5A">
        <w:t xml:space="preserve"> Friedman t</w:t>
      </w:r>
      <w:r w:rsidR="005D031E" w:rsidRPr="00174B5A">
        <w:t>est</w:t>
      </w:r>
      <w:r w:rsidR="0027464D" w:rsidRPr="00174B5A">
        <w:t xml:space="preserve"> </w:t>
      </w:r>
      <w:r w:rsidR="0027464D" w:rsidRPr="00172DC9">
        <w:rPr>
          <w:rStyle w:val="ref"/>
        </w:rPr>
        <w:t>[8]</w:t>
      </w:r>
      <w:r w:rsidR="00F57C85" w:rsidRPr="00174B5A">
        <w:t>.</w:t>
      </w:r>
      <w:r w:rsidR="00872E5D" w:rsidRPr="00174B5A">
        <w:t xml:space="preserve"> </w:t>
      </w:r>
      <w:r w:rsidR="005D031E" w:rsidRPr="00174B5A">
        <w:t>T</w:t>
      </w:r>
      <w:r w:rsidR="00C041AA" w:rsidRPr="00174B5A">
        <w:t>he U-t</w:t>
      </w:r>
      <w:r w:rsidR="00532D26" w:rsidRPr="00174B5A">
        <w:t>est</w:t>
      </w:r>
      <w:r w:rsidR="00C041AA" w:rsidRPr="00174B5A">
        <w:t xml:space="preserve"> developed by Mann and Whitney (1947)</w:t>
      </w:r>
      <w:r w:rsidR="00532D26" w:rsidRPr="00174B5A">
        <w:t xml:space="preserve"> was used to compare both groups with each other. </w:t>
      </w:r>
      <w:r w:rsidR="005D031E" w:rsidRPr="00174B5A">
        <w:t xml:space="preserve">The following significances were </w:t>
      </w:r>
      <w:r w:rsidR="00C041AA" w:rsidRPr="00174B5A">
        <w:t>defined</w:t>
      </w:r>
      <w:r w:rsidR="00F57C85" w:rsidRPr="00174B5A">
        <w:t xml:space="preserve"> </w:t>
      </w:r>
      <w:r w:rsidR="00AC4028" w:rsidRPr="00174B5A">
        <w:t xml:space="preserve">as </w:t>
      </w:r>
      <w:r w:rsidR="00532D26" w:rsidRPr="00174B5A">
        <w:t>p≤0.</w:t>
      </w:r>
      <w:r w:rsidR="005D031E" w:rsidRPr="00174B5A">
        <w:t>05 signific</w:t>
      </w:r>
      <w:r w:rsidR="00532D26" w:rsidRPr="00174B5A">
        <w:t>ant (*); p≤0.</w:t>
      </w:r>
      <w:r w:rsidR="00F57C85" w:rsidRPr="00174B5A">
        <w:t xml:space="preserve">01 </w:t>
      </w:r>
      <w:r w:rsidR="00532D26" w:rsidRPr="00174B5A">
        <w:t>highly significant</w:t>
      </w:r>
      <w:r w:rsidR="00F57C85" w:rsidRPr="00174B5A">
        <w:t xml:space="preserve"> (**); p≤0</w:t>
      </w:r>
      <w:r w:rsidR="00532D26" w:rsidRPr="00174B5A">
        <w:t>.</w:t>
      </w:r>
      <w:r w:rsidR="00F57C85" w:rsidRPr="00174B5A">
        <w:t xml:space="preserve">001 </w:t>
      </w:r>
      <w:r w:rsidR="00532D26" w:rsidRPr="00174B5A">
        <w:t>most significant</w:t>
      </w:r>
      <w:r w:rsidR="00F57C85" w:rsidRPr="00174B5A">
        <w:t xml:space="preserve"> (***).</w:t>
      </w:r>
    </w:p>
    <w:p w:rsidR="00E426C9" w:rsidRPr="00174B5A" w:rsidRDefault="00211F20" w:rsidP="00EA212D">
      <w:pPr>
        <w:pStyle w:val="Headline-2"/>
        <w:sectPr w:rsidR="00E426C9" w:rsidRPr="00174B5A">
          <w:footnotePr>
            <w:pos w:val="beneathText"/>
          </w:footnotePr>
          <w:type w:val="continuous"/>
          <w:pgSz w:w="11905" w:h="16837"/>
          <w:pgMar w:top="1417" w:right="1417" w:bottom="1134" w:left="1417" w:header="708" w:footer="720" w:gutter="0"/>
          <w:cols w:num="2" w:space="709"/>
          <w:docGrid w:linePitch="360"/>
        </w:sectPr>
      </w:pPr>
      <w:r w:rsidRPr="00174B5A">
        <w:lastRenderedPageBreak/>
        <w:t>Results</w:t>
      </w:r>
    </w:p>
    <w:p w:rsidR="000D356E" w:rsidRPr="00174B5A" w:rsidRDefault="00B75891" w:rsidP="00EA212D">
      <w:pPr>
        <w:pStyle w:val="Headline-3"/>
        <w:spacing w:before="0"/>
      </w:pPr>
      <w:r w:rsidRPr="00174B5A">
        <w:lastRenderedPageBreak/>
        <w:t>Course</w:t>
      </w:r>
      <w:r w:rsidR="00F4398D" w:rsidRPr="00174B5A">
        <w:t xml:space="preserve"> of the blood pressure parameters during the observation period</w:t>
      </w:r>
    </w:p>
    <w:p w:rsidR="009D7BEB" w:rsidRPr="00174B5A" w:rsidRDefault="009D7BEB" w:rsidP="009D747C">
      <w:r w:rsidRPr="00174B5A">
        <w:t>I</w:t>
      </w:r>
      <w:r w:rsidR="00F4398D" w:rsidRPr="00174B5A">
        <w:t xml:space="preserve">n the </w:t>
      </w:r>
      <w:r w:rsidR="00CF575D" w:rsidRPr="00174B5A">
        <w:t>intervention group, the low dosage</w:t>
      </w:r>
      <w:r w:rsidR="00F4398D" w:rsidRPr="00174B5A">
        <w:t xml:space="preserve"> </w:t>
      </w:r>
      <w:r w:rsidR="00CF575D" w:rsidRPr="00174B5A">
        <w:t>of taken medication</w:t>
      </w:r>
      <w:r w:rsidR="00F4398D" w:rsidRPr="00174B5A">
        <w:t xml:space="preserve"> (β-b</w:t>
      </w:r>
      <w:r w:rsidRPr="00174B5A">
        <w:t>locker</w:t>
      </w:r>
      <w:r w:rsidR="00CF575D" w:rsidRPr="00174B5A">
        <w:t>s</w:t>
      </w:r>
      <w:r w:rsidRPr="00174B5A">
        <w:t>, ACE</w:t>
      </w:r>
      <w:r w:rsidR="00CF575D" w:rsidRPr="00174B5A">
        <w:t xml:space="preserve"> </w:t>
      </w:r>
      <w:r w:rsidR="00F4398D" w:rsidRPr="00174B5A">
        <w:t xml:space="preserve">inhibitors) led to a significant reduction of the systolic blood pressure, the </w:t>
      </w:r>
      <w:r w:rsidR="00CF575D" w:rsidRPr="00174B5A">
        <w:t xml:space="preserve">mean </w:t>
      </w:r>
      <w:r w:rsidR="00F4398D" w:rsidRPr="00174B5A">
        <w:t xml:space="preserve">arterial pressure and the heart rate. </w:t>
      </w:r>
      <w:r w:rsidR="001E3C4C" w:rsidRPr="00174B5A">
        <w:t>No</w:t>
      </w:r>
      <w:r w:rsidR="00330833" w:rsidRPr="00174B5A">
        <w:t xml:space="preserve"> significant increase of the</w:t>
      </w:r>
      <w:r w:rsidR="00F4398D" w:rsidRPr="00174B5A">
        <w:t>se parameters could be determined</w:t>
      </w:r>
      <w:r w:rsidR="001E3C4C" w:rsidRPr="00174B5A">
        <w:t xml:space="preserve"> after discontinuing antihypertensive medication</w:t>
      </w:r>
      <w:r w:rsidR="00F4398D" w:rsidRPr="00174B5A">
        <w:t>.</w:t>
      </w:r>
      <w:r w:rsidRPr="00174B5A">
        <w:t xml:space="preserve"> </w:t>
      </w:r>
      <w:r w:rsidR="000E3647" w:rsidRPr="00174B5A">
        <w:t>Despite the slight increase of the blood pressure parameters after discontinuing medication</w:t>
      </w:r>
      <w:r w:rsidR="00F4398D" w:rsidRPr="00174B5A">
        <w:t>, the systolic blood pressure and the pulse pressure</w:t>
      </w:r>
      <w:r w:rsidR="00DE09B9" w:rsidRPr="00174B5A">
        <w:t xml:space="preserve"> </w:t>
      </w:r>
      <w:r w:rsidR="00330833" w:rsidRPr="00174B5A">
        <w:t>were</w:t>
      </w:r>
      <w:r w:rsidR="000E3647" w:rsidRPr="00174B5A">
        <w:t>, as compared to the base level,</w:t>
      </w:r>
      <w:r w:rsidR="00330833" w:rsidRPr="00174B5A">
        <w:t xml:space="preserve"> reduced by 6.59 (±5.02) mmHg or 6.43 (±4.58) mmHg </w:t>
      </w:r>
      <w:r w:rsidR="00DE09B9" w:rsidRPr="00174B5A">
        <w:t>at the final measurement</w:t>
      </w:r>
      <w:r w:rsidR="00F4398D" w:rsidRPr="00174B5A">
        <w:t xml:space="preserve"> </w:t>
      </w:r>
      <w:r w:rsidR="00330833" w:rsidRPr="00174B5A">
        <w:t>(</w:t>
      </w:r>
      <w:r w:rsidR="00F4398D" w:rsidRPr="00174B5A">
        <w:t>see</w:t>
      </w:r>
      <w:r w:rsidR="00DE09B9" w:rsidRPr="00174B5A">
        <w:t xml:space="preserve"> </w:t>
      </w:r>
      <w:r w:rsidR="00DE09B9" w:rsidRPr="00B711A8">
        <w:rPr>
          <w:rStyle w:val="tab"/>
        </w:rPr>
        <w:t>t</w:t>
      </w:r>
      <w:r w:rsidRPr="00B711A8">
        <w:rPr>
          <w:rStyle w:val="tab"/>
        </w:rPr>
        <w:t>ab</w:t>
      </w:r>
      <w:r w:rsidR="00F4398D" w:rsidRPr="00B711A8">
        <w:rPr>
          <w:rStyle w:val="tab"/>
        </w:rPr>
        <w:t>le</w:t>
      </w:r>
      <w:r w:rsidRPr="00B711A8">
        <w:rPr>
          <w:rStyle w:val="tab"/>
        </w:rPr>
        <w:t xml:space="preserve"> 2</w:t>
      </w:r>
      <w:r w:rsidR="00EB5E5D" w:rsidRPr="00174B5A">
        <w:t xml:space="preserve"> &amp; </w:t>
      </w:r>
      <w:r w:rsidR="00DE09B9" w:rsidRPr="009D747C">
        <w:rPr>
          <w:rStyle w:val="fig"/>
        </w:rPr>
        <w:t>fig.</w:t>
      </w:r>
      <w:r w:rsidR="00F4398D" w:rsidRPr="009D747C">
        <w:rPr>
          <w:rStyle w:val="fig"/>
        </w:rPr>
        <w:t xml:space="preserve"> </w:t>
      </w:r>
      <w:r w:rsidR="00EB5E5D" w:rsidRPr="009D747C">
        <w:rPr>
          <w:rStyle w:val="fig"/>
        </w:rPr>
        <w:t xml:space="preserve">2 </w:t>
      </w:r>
      <w:r w:rsidR="00F4398D" w:rsidRPr="009D747C">
        <w:rPr>
          <w:rStyle w:val="fig"/>
        </w:rPr>
        <w:t>and</w:t>
      </w:r>
      <w:r w:rsidR="00DE09B9" w:rsidRPr="009D747C">
        <w:rPr>
          <w:rStyle w:val="fig"/>
        </w:rPr>
        <w:t xml:space="preserve"> 3</w:t>
      </w:r>
      <w:r w:rsidR="00DE09B9" w:rsidRPr="00174B5A">
        <w:t>)</w:t>
      </w:r>
      <w:r w:rsidRPr="00174B5A">
        <w:t>.</w:t>
      </w:r>
    </w:p>
    <w:p w:rsidR="00B931B5" w:rsidRPr="00174B5A" w:rsidRDefault="00DE09B9" w:rsidP="00EA212D">
      <w:r w:rsidRPr="00174B5A">
        <w:t>The Friedman test shows</w:t>
      </w:r>
      <w:r w:rsidR="00C211AD" w:rsidRPr="00174B5A">
        <w:t xml:space="preserve"> signifi</w:t>
      </w:r>
      <w:r w:rsidRPr="00174B5A">
        <w:t>cant or even highly significant differences in the central tendency of the following measurements:</w:t>
      </w:r>
    </w:p>
    <w:p w:rsidR="00C211AD" w:rsidRPr="00174B5A" w:rsidRDefault="005E4E2D" w:rsidP="00EA212D">
      <w:pPr>
        <w:pStyle w:val="Normallist"/>
        <w:spacing w:before="240"/>
        <w:ind w:left="714" w:hanging="357"/>
      </w:pPr>
      <w:r w:rsidRPr="00174B5A">
        <w:t xml:space="preserve">average </w:t>
      </w:r>
      <w:r w:rsidR="005927DC" w:rsidRPr="00174B5A">
        <w:t>s</w:t>
      </w:r>
      <w:r w:rsidR="00CE78BA" w:rsidRPr="00174B5A">
        <w:t xml:space="preserve">ystolic </w:t>
      </w:r>
      <w:r w:rsidR="005927DC" w:rsidRPr="00174B5A">
        <w:t xml:space="preserve">blood pressure </w:t>
      </w:r>
      <w:r w:rsidR="00C211AD" w:rsidRPr="00174B5A">
        <w:t>(p</w:t>
      </w:r>
      <w:r w:rsidR="009F38EB">
        <w:t xml:space="preserve"> </w:t>
      </w:r>
      <w:r w:rsidR="00C211AD" w:rsidRPr="00174B5A">
        <w:t>=</w:t>
      </w:r>
      <w:r w:rsidR="009F38EB">
        <w:t xml:space="preserve"> </w:t>
      </w:r>
      <w:r w:rsidR="00C211AD" w:rsidRPr="00174B5A">
        <w:t>0</w:t>
      </w:r>
      <w:r w:rsidR="00CE78BA" w:rsidRPr="00174B5A">
        <w:t>.</w:t>
      </w:r>
      <w:r w:rsidR="00C211AD" w:rsidRPr="00174B5A">
        <w:t>005)</w:t>
      </w:r>
    </w:p>
    <w:p w:rsidR="00C211AD" w:rsidRPr="00174B5A" w:rsidRDefault="005E4E2D" w:rsidP="00EA212D">
      <w:pPr>
        <w:pStyle w:val="Normallist"/>
      </w:pPr>
      <w:r w:rsidRPr="00174B5A">
        <w:t xml:space="preserve">daily average </w:t>
      </w:r>
      <w:r w:rsidR="000A3B28" w:rsidRPr="00174B5A">
        <w:t>s</w:t>
      </w:r>
      <w:r w:rsidR="00CE78BA" w:rsidRPr="00174B5A">
        <w:t>ystolic blood pressure (p</w:t>
      </w:r>
      <w:r w:rsidR="009F38EB">
        <w:t xml:space="preserve"> </w:t>
      </w:r>
      <w:r w:rsidR="00CE78BA" w:rsidRPr="00174B5A">
        <w:t>=</w:t>
      </w:r>
      <w:r w:rsidR="009F38EB">
        <w:t xml:space="preserve"> </w:t>
      </w:r>
      <w:r w:rsidR="00CE78BA" w:rsidRPr="00174B5A">
        <w:t>0.</w:t>
      </w:r>
      <w:r w:rsidR="00C211AD" w:rsidRPr="00174B5A">
        <w:t>002)</w:t>
      </w:r>
    </w:p>
    <w:p w:rsidR="00C211AD" w:rsidRPr="00174B5A" w:rsidRDefault="005E4E2D" w:rsidP="00EA212D">
      <w:pPr>
        <w:pStyle w:val="Normallist"/>
      </w:pPr>
      <w:r w:rsidRPr="00174B5A">
        <w:t xml:space="preserve">night average </w:t>
      </w:r>
      <w:r w:rsidR="000A3B28" w:rsidRPr="00174B5A">
        <w:t>s</w:t>
      </w:r>
      <w:r w:rsidR="00CE78BA" w:rsidRPr="00174B5A">
        <w:t>ystolic blood pressure</w:t>
      </w:r>
      <w:r w:rsidR="00C211AD" w:rsidRPr="00174B5A">
        <w:t xml:space="preserve"> </w:t>
      </w:r>
      <w:r w:rsidR="00CE78BA" w:rsidRPr="00174B5A">
        <w:t>(p</w:t>
      </w:r>
      <w:r w:rsidR="009F38EB">
        <w:t xml:space="preserve"> </w:t>
      </w:r>
      <w:r w:rsidR="00CE78BA" w:rsidRPr="00174B5A">
        <w:t>=</w:t>
      </w:r>
      <w:r w:rsidR="009F38EB">
        <w:t xml:space="preserve"> </w:t>
      </w:r>
      <w:r w:rsidR="00CE78BA" w:rsidRPr="00174B5A">
        <w:t>0.</w:t>
      </w:r>
      <w:r w:rsidR="00C211AD" w:rsidRPr="00174B5A">
        <w:t>005)</w:t>
      </w:r>
    </w:p>
    <w:p w:rsidR="00C211AD" w:rsidRPr="00174B5A" w:rsidRDefault="005E4E2D" w:rsidP="00EA212D">
      <w:pPr>
        <w:pStyle w:val="Normallist"/>
      </w:pPr>
      <w:r w:rsidRPr="00174B5A">
        <w:t xml:space="preserve">daily average </w:t>
      </w:r>
      <w:r w:rsidR="000A3B28" w:rsidRPr="00174B5A">
        <w:t>d</w:t>
      </w:r>
      <w:r w:rsidR="00CE78BA" w:rsidRPr="00174B5A">
        <w:t xml:space="preserve">iastolic blood pressure </w:t>
      </w:r>
      <w:r w:rsidR="00C211AD" w:rsidRPr="00174B5A">
        <w:t>(p</w:t>
      </w:r>
      <w:r w:rsidRPr="00174B5A">
        <w:t> </w:t>
      </w:r>
      <w:r w:rsidR="00C211AD" w:rsidRPr="00174B5A">
        <w:t>=</w:t>
      </w:r>
      <w:r w:rsidRPr="00174B5A">
        <w:t> </w:t>
      </w:r>
      <w:r w:rsidR="00C211AD" w:rsidRPr="00174B5A">
        <w:t>0</w:t>
      </w:r>
      <w:r w:rsidR="00CE78BA" w:rsidRPr="00174B5A">
        <w:t>.</w:t>
      </w:r>
      <w:r w:rsidR="00C211AD" w:rsidRPr="00174B5A">
        <w:t>033)</w:t>
      </w:r>
    </w:p>
    <w:p w:rsidR="00C211AD" w:rsidRPr="00174B5A" w:rsidRDefault="000A3B28" w:rsidP="00EA212D">
      <w:pPr>
        <w:pStyle w:val="Normallist"/>
      </w:pPr>
      <w:r w:rsidRPr="00174B5A">
        <w:t>average h</w:t>
      </w:r>
      <w:r w:rsidR="00CE78BA" w:rsidRPr="00174B5A">
        <w:t xml:space="preserve">eart rate </w:t>
      </w:r>
      <w:r w:rsidR="00C211AD" w:rsidRPr="00174B5A">
        <w:t>(p</w:t>
      </w:r>
      <w:r w:rsidR="005E4E2D" w:rsidRPr="00174B5A">
        <w:t> </w:t>
      </w:r>
      <w:r w:rsidR="00C211AD" w:rsidRPr="00174B5A">
        <w:t>=</w:t>
      </w:r>
      <w:r w:rsidR="005E4E2D" w:rsidRPr="00174B5A">
        <w:t> </w:t>
      </w:r>
      <w:r w:rsidR="00C211AD" w:rsidRPr="00174B5A">
        <w:t>0</w:t>
      </w:r>
      <w:r w:rsidR="00CE78BA" w:rsidRPr="00174B5A">
        <w:t>.</w:t>
      </w:r>
      <w:r w:rsidR="00C211AD" w:rsidRPr="00174B5A">
        <w:t>010)</w:t>
      </w:r>
    </w:p>
    <w:p w:rsidR="00C211AD" w:rsidRPr="00174B5A" w:rsidRDefault="000A3B28" w:rsidP="00EA212D">
      <w:pPr>
        <w:pStyle w:val="Normallist"/>
      </w:pPr>
      <w:r w:rsidRPr="00174B5A">
        <w:t>daily average h</w:t>
      </w:r>
      <w:r w:rsidR="00CE78BA" w:rsidRPr="00174B5A">
        <w:t>eart rate (p</w:t>
      </w:r>
      <w:r w:rsidR="005E4E2D" w:rsidRPr="00174B5A">
        <w:t> </w:t>
      </w:r>
      <w:r w:rsidR="00CE78BA" w:rsidRPr="00174B5A">
        <w:t>=</w:t>
      </w:r>
      <w:r w:rsidR="005E4E2D" w:rsidRPr="00174B5A">
        <w:t> </w:t>
      </w:r>
      <w:r w:rsidR="00CE78BA" w:rsidRPr="00174B5A">
        <w:t>0.</w:t>
      </w:r>
      <w:r w:rsidR="00C211AD" w:rsidRPr="00174B5A">
        <w:t>003)</w:t>
      </w:r>
    </w:p>
    <w:p w:rsidR="00C211AD" w:rsidRPr="00174B5A" w:rsidRDefault="000A3B28" w:rsidP="00EA212D">
      <w:pPr>
        <w:pStyle w:val="Normallist"/>
      </w:pPr>
      <w:r w:rsidRPr="00174B5A">
        <w:t>night average h</w:t>
      </w:r>
      <w:r w:rsidR="00CE78BA" w:rsidRPr="00174B5A">
        <w:t>eart rate (p</w:t>
      </w:r>
      <w:r w:rsidR="005E4E2D" w:rsidRPr="00174B5A">
        <w:t> </w:t>
      </w:r>
      <w:r w:rsidR="00CE78BA" w:rsidRPr="00174B5A">
        <w:t>=</w:t>
      </w:r>
      <w:r w:rsidR="005E4E2D" w:rsidRPr="00174B5A">
        <w:t> </w:t>
      </w:r>
      <w:r w:rsidR="00CE78BA" w:rsidRPr="00174B5A">
        <w:t>0.</w:t>
      </w:r>
      <w:r w:rsidR="00C211AD" w:rsidRPr="00174B5A">
        <w:t>015)</w:t>
      </w:r>
    </w:p>
    <w:p w:rsidR="00C211AD" w:rsidRPr="00174B5A" w:rsidRDefault="000A3B28" w:rsidP="00EA212D">
      <w:pPr>
        <w:pStyle w:val="Normallist"/>
      </w:pPr>
      <w:r w:rsidRPr="00174B5A">
        <w:t>average mean a</w:t>
      </w:r>
      <w:r w:rsidR="00CE78BA" w:rsidRPr="00174B5A">
        <w:t>rterial pressure (p</w:t>
      </w:r>
      <w:r w:rsidR="005E4E2D" w:rsidRPr="00174B5A">
        <w:t> </w:t>
      </w:r>
      <w:r w:rsidR="00CE78BA" w:rsidRPr="00174B5A">
        <w:t>=</w:t>
      </w:r>
      <w:r w:rsidR="005E4E2D" w:rsidRPr="00174B5A">
        <w:t> </w:t>
      </w:r>
      <w:r w:rsidR="00CE78BA" w:rsidRPr="00174B5A">
        <w:t>0.</w:t>
      </w:r>
      <w:r w:rsidR="00C211AD" w:rsidRPr="00174B5A">
        <w:t>010)</w:t>
      </w:r>
    </w:p>
    <w:p w:rsidR="000A3B28" w:rsidRPr="00174B5A" w:rsidRDefault="000A3B28" w:rsidP="00513410">
      <w:pPr>
        <w:pStyle w:val="Normallist"/>
      </w:pPr>
      <w:r w:rsidRPr="00174B5A">
        <w:t>average pulse pressure</w:t>
      </w:r>
      <w:r w:rsidR="00CE78BA" w:rsidRPr="00174B5A">
        <w:t xml:space="preserve"> (p</w:t>
      </w:r>
      <w:r w:rsidR="00A259AD">
        <w:t xml:space="preserve"> </w:t>
      </w:r>
      <w:r w:rsidR="00CE78BA" w:rsidRPr="00174B5A">
        <w:t>=</w:t>
      </w:r>
      <w:r w:rsidR="00A259AD">
        <w:t xml:space="preserve"> </w:t>
      </w:r>
      <w:r w:rsidR="00CE78BA" w:rsidRPr="00174B5A">
        <w:t>0.</w:t>
      </w:r>
      <w:r w:rsidR="00C211AD" w:rsidRPr="00174B5A">
        <w:t>015)</w:t>
      </w:r>
    </w:p>
    <w:p w:rsidR="00513410" w:rsidRPr="00174B5A" w:rsidRDefault="00CE78BA" w:rsidP="00EA212D">
      <w:pPr>
        <w:pStyle w:val="tabletitle"/>
      </w:pPr>
      <w:r w:rsidRPr="00174B5A">
        <w:t>Table</w:t>
      </w:r>
      <w:r w:rsidR="00513410" w:rsidRPr="00174B5A">
        <w:t xml:space="preserve"> </w:t>
      </w:r>
      <w:r w:rsidR="009F38EB">
        <w:t>2</w:t>
      </w:r>
      <w:r w:rsidR="00513410" w:rsidRPr="00174B5A">
        <w:t xml:space="preserve"> </w:t>
      </w:r>
      <w:r w:rsidRPr="00174B5A">
        <w:t>blood pressure parameters</w:t>
      </w:r>
      <w:r w:rsidR="00513410" w:rsidRPr="00174B5A">
        <w:t xml:space="preserve"> &amp; </w:t>
      </w:r>
      <w:r w:rsidR="000A3B28" w:rsidRPr="00174B5A">
        <w:t>heart rate in the interven</w:t>
      </w:r>
      <w:r w:rsidRPr="00174B5A">
        <w:t>tion group</w:t>
      </w:r>
      <w:r w:rsidR="001A1EBA" w:rsidRPr="00174B5A">
        <w:t xml:space="preserve"> (average</w:t>
      </w:r>
      <w:r w:rsidR="00643EC9" w:rsidRPr="00174B5A">
        <w:t xml:space="preserve"> value</w:t>
      </w:r>
      <w:r w:rsidR="004B5D3F" w:rsidRPr="00174B5A">
        <w:t xml:space="preserve"> &amp; </w:t>
      </w:r>
      <w:r w:rsidR="00643EC9" w:rsidRPr="00174B5A">
        <w:t>standard deviation</w:t>
      </w:r>
      <w:r w:rsidR="004B5D3F" w:rsidRPr="00174B5A">
        <w:t>)</w:t>
      </w:r>
    </w:p>
    <w:tbl>
      <w:tblPr>
        <w:tblW w:w="48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793"/>
        <w:gridCol w:w="794"/>
        <w:gridCol w:w="793"/>
        <w:gridCol w:w="794"/>
      </w:tblGrid>
      <w:tr w:rsidR="00513410" w:rsidRPr="00174B5A" w:rsidTr="004B5D3F">
        <w:trPr>
          <w:trHeight w:val="397"/>
        </w:trPr>
        <w:tc>
          <w:tcPr>
            <w:tcW w:w="1066" w:type="pct"/>
            <w:shd w:val="clear" w:color="auto" w:fill="F2F2F2"/>
            <w:vAlign w:val="center"/>
          </w:tcPr>
          <w:p w:rsidR="00513410" w:rsidRPr="00174B5A" w:rsidRDefault="00643EC9" w:rsidP="00EA212D">
            <w:pPr>
              <w:pStyle w:val="tablehead"/>
            </w:pPr>
            <w:r w:rsidRPr="00174B5A">
              <w:t>m</w:t>
            </w:r>
            <w:r w:rsidR="00CE78BA" w:rsidRPr="00174B5A">
              <w:t>easurement</w:t>
            </w:r>
          </w:p>
        </w:tc>
        <w:tc>
          <w:tcPr>
            <w:tcW w:w="983" w:type="pct"/>
            <w:shd w:val="clear" w:color="auto" w:fill="F2F2F2"/>
            <w:vAlign w:val="center"/>
          </w:tcPr>
          <w:p w:rsidR="00513410" w:rsidRPr="00174B5A" w:rsidRDefault="00513410" w:rsidP="00EA212D">
            <w:pPr>
              <w:pStyle w:val="tablehead"/>
            </w:pPr>
            <w:r w:rsidRPr="00174B5A">
              <w:t>1</w:t>
            </w:r>
          </w:p>
          <w:p w:rsidR="00CE78BA" w:rsidRPr="00174B5A" w:rsidRDefault="001A1EBA" w:rsidP="00EA212D">
            <w:pPr>
              <w:pStyle w:val="tablehead"/>
            </w:pPr>
            <w:r w:rsidRPr="00174B5A">
              <w:t>b</w:t>
            </w:r>
            <w:r w:rsidR="00CE78BA" w:rsidRPr="00174B5A">
              <w:t>ase level</w:t>
            </w:r>
          </w:p>
          <w:p w:rsidR="00513410" w:rsidRPr="00174B5A" w:rsidRDefault="00513410" w:rsidP="00EA212D">
            <w:pPr>
              <w:pStyle w:val="tablehead"/>
            </w:pPr>
            <w:r w:rsidRPr="00174B5A">
              <w:t>(n</w:t>
            </w:r>
            <w:r w:rsidR="00643EC9" w:rsidRPr="00174B5A">
              <w:t> </w:t>
            </w:r>
            <w:r w:rsidRPr="00174B5A">
              <w:t>=</w:t>
            </w:r>
            <w:r w:rsidR="00643EC9" w:rsidRPr="00174B5A">
              <w:t> </w:t>
            </w:r>
            <w:r w:rsidRPr="00174B5A">
              <w:t>9)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513410" w:rsidRPr="00174B5A" w:rsidRDefault="00513410" w:rsidP="00EA212D">
            <w:pPr>
              <w:pStyle w:val="tablehead"/>
            </w:pPr>
            <w:r w:rsidRPr="00174B5A">
              <w:t>2</w:t>
            </w:r>
          </w:p>
          <w:p w:rsidR="001A1EBA" w:rsidRPr="00174B5A" w:rsidRDefault="001A1EBA" w:rsidP="00EA212D">
            <w:pPr>
              <w:pStyle w:val="tablehead"/>
            </w:pPr>
            <w:r w:rsidRPr="00174B5A">
              <w:t xml:space="preserve">end of </w:t>
            </w:r>
            <w:r w:rsidR="00643EC9" w:rsidRPr="00174B5A">
              <w:t>medication</w:t>
            </w:r>
            <w:r w:rsidRPr="00174B5A">
              <w:t xml:space="preserve"> therapy</w:t>
            </w:r>
          </w:p>
          <w:p w:rsidR="00513410" w:rsidRPr="00174B5A" w:rsidRDefault="00513410" w:rsidP="00EA212D">
            <w:pPr>
              <w:pStyle w:val="tablehead"/>
            </w:pPr>
            <w:r w:rsidRPr="00174B5A">
              <w:t>(n</w:t>
            </w:r>
            <w:r w:rsidR="00643EC9" w:rsidRPr="00174B5A">
              <w:t> </w:t>
            </w:r>
            <w:r w:rsidRPr="00174B5A">
              <w:t>=</w:t>
            </w:r>
            <w:r w:rsidR="00643EC9" w:rsidRPr="00174B5A">
              <w:t> </w:t>
            </w:r>
            <w:r w:rsidRPr="00174B5A">
              <w:t>9)</w:t>
            </w:r>
          </w:p>
        </w:tc>
        <w:tc>
          <w:tcPr>
            <w:tcW w:w="983" w:type="pct"/>
            <w:shd w:val="clear" w:color="auto" w:fill="F2F2F2"/>
            <w:vAlign w:val="center"/>
          </w:tcPr>
          <w:p w:rsidR="00513410" w:rsidRPr="00174B5A" w:rsidRDefault="00513410" w:rsidP="00EA212D">
            <w:pPr>
              <w:pStyle w:val="tablehead"/>
            </w:pPr>
            <w:r w:rsidRPr="00174B5A">
              <w:t>3</w:t>
            </w:r>
          </w:p>
          <w:p w:rsidR="00CE78BA" w:rsidRPr="00174B5A" w:rsidRDefault="00CE78BA" w:rsidP="00EA212D">
            <w:pPr>
              <w:pStyle w:val="tablehead"/>
            </w:pPr>
            <w:r w:rsidRPr="00174B5A">
              <w:t>1 month after</w:t>
            </w:r>
            <w:r w:rsidR="001A1EBA" w:rsidRPr="00174B5A">
              <w:t xml:space="preserve"> the</w:t>
            </w:r>
            <w:r w:rsidRPr="00174B5A">
              <w:t xml:space="preserve"> therapy</w:t>
            </w:r>
          </w:p>
          <w:p w:rsidR="00513410" w:rsidRPr="00174B5A" w:rsidRDefault="00513410" w:rsidP="00EA212D">
            <w:pPr>
              <w:pStyle w:val="tablehead"/>
            </w:pPr>
            <w:r w:rsidRPr="00174B5A">
              <w:t>(n</w:t>
            </w:r>
            <w:r w:rsidR="00643EC9" w:rsidRPr="00174B5A">
              <w:t> </w:t>
            </w:r>
            <w:r w:rsidRPr="00174B5A">
              <w:t>=</w:t>
            </w:r>
            <w:r w:rsidR="00643EC9" w:rsidRPr="00174B5A">
              <w:t> </w:t>
            </w:r>
            <w:r w:rsidRPr="00174B5A">
              <w:t>8)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513410" w:rsidRPr="00174B5A" w:rsidRDefault="00513410" w:rsidP="00EA212D">
            <w:pPr>
              <w:pStyle w:val="tablehead"/>
            </w:pPr>
            <w:r w:rsidRPr="00174B5A">
              <w:t>4</w:t>
            </w:r>
          </w:p>
          <w:p w:rsidR="00513410" w:rsidRPr="00174B5A" w:rsidRDefault="00CE78BA" w:rsidP="00EA212D">
            <w:pPr>
              <w:pStyle w:val="tablehead"/>
            </w:pPr>
            <w:r w:rsidRPr="00174B5A">
              <w:t xml:space="preserve">3 months after </w:t>
            </w:r>
            <w:r w:rsidR="001A1EBA" w:rsidRPr="00174B5A">
              <w:t>the</w:t>
            </w:r>
            <w:r w:rsidRPr="00174B5A">
              <w:t xml:space="preserve"> therapy</w:t>
            </w:r>
          </w:p>
          <w:p w:rsidR="00513410" w:rsidRPr="00174B5A" w:rsidRDefault="00643EC9" w:rsidP="00EA212D">
            <w:pPr>
              <w:pStyle w:val="tablehead"/>
            </w:pPr>
            <w:r w:rsidRPr="00174B5A">
              <w:t>(n </w:t>
            </w:r>
            <w:r w:rsidR="00513410" w:rsidRPr="00174B5A">
              <w:t>=</w:t>
            </w:r>
            <w:r w:rsidRPr="00174B5A">
              <w:t> </w:t>
            </w:r>
            <w:r w:rsidR="00513410" w:rsidRPr="00174B5A">
              <w:t>8)</w:t>
            </w:r>
          </w:p>
        </w:tc>
      </w:tr>
      <w:tr w:rsidR="00513410" w:rsidRPr="00174B5A" w:rsidTr="00930143">
        <w:trPr>
          <w:trHeight w:val="355"/>
        </w:trPr>
        <w:tc>
          <w:tcPr>
            <w:tcW w:w="1066" w:type="pct"/>
            <w:shd w:val="clear" w:color="auto" w:fill="FFFFFF"/>
            <w:vAlign w:val="center"/>
          </w:tcPr>
          <w:p w:rsidR="00513410" w:rsidRPr="00174B5A" w:rsidRDefault="00BD65A6" w:rsidP="00EA212D">
            <w:pPr>
              <w:pStyle w:val="tablehead"/>
            </w:pPr>
            <w:r w:rsidRPr="00174B5A">
              <w:t>average_RRsys</w:t>
            </w:r>
            <w:r w:rsidR="00513410" w:rsidRPr="00174B5A">
              <w:t xml:space="preserve"> [mmHg]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141.</w:t>
            </w:r>
            <w:r w:rsidR="00513410" w:rsidRPr="00174B5A">
              <w:t>26 ± 8</w:t>
            </w:r>
            <w:r w:rsidRPr="00174B5A">
              <w:t>.</w:t>
            </w:r>
            <w:r w:rsidR="00513410" w:rsidRPr="00174B5A">
              <w:t>02</w:t>
            </w:r>
          </w:p>
        </w:tc>
        <w:tc>
          <w:tcPr>
            <w:tcW w:w="984" w:type="pct"/>
            <w:vAlign w:val="center"/>
          </w:tcPr>
          <w:p w:rsidR="00513410" w:rsidRPr="00174B5A" w:rsidRDefault="00513410" w:rsidP="00EA212D">
            <w:pPr>
              <w:pStyle w:val="tablecell"/>
            </w:pPr>
            <w:r w:rsidRPr="00174B5A">
              <w:t>130</w:t>
            </w:r>
            <w:r w:rsidR="00CE78BA" w:rsidRPr="00174B5A">
              <w:t>.</w:t>
            </w:r>
            <w:r w:rsidRPr="00174B5A">
              <w:t>16 ± 4</w:t>
            </w:r>
            <w:r w:rsidR="00CE78BA" w:rsidRPr="00174B5A">
              <w:t>.</w:t>
            </w:r>
            <w:r w:rsidRPr="00174B5A">
              <w:t>17</w:t>
            </w:r>
          </w:p>
        </w:tc>
        <w:tc>
          <w:tcPr>
            <w:tcW w:w="983" w:type="pct"/>
            <w:vAlign w:val="center"/>
          </w:tcPr>
          <w:p w:rsidR="00513410" w:rsidRPr="00174B5A" w:rsidRDefault="00513410" w:rsidP="00EA212D">
            <w:pPr>
              <w:pStyle w:val="tablecell"/>
            </w:pPr>
            <w:r w:rsidRPr="00174B5A">
              <w:t>133</w:t>
            </w:r>
            <w:r w:rsidR="00CE78BA" w:rsidRPr="00174B5A">
              <w:t>.</w:t>
            </w:r>
            <w:r w:rsidRPr="00174B5A">
              <w:t>81 ± 6</w:t>
            </w:r>
            <w:r w:rsidR="00CE78BA" w:rsidRPr="00174B5A">
              <w:t>.</w:t>
            </w:r>
            <w:r w:rsidRPr="00174B5A">
              <w:t>42</w:t>
            </w:r>
          </w:p>
        </w:tc>
        <w:tc>
          <w:tcPr>
            <w:tcW w:w="984" w:type="pct"/>
            <w:vAlign w:val="center"/>
          </w:tcPr>
          <w:p w:rsidR="00513410" w:rsidRPr="00174B5A" w:rsidRDefault="00513410" w:rsidP="00EA212D">
            <w:pPr>
              <w:pStyle w:val="tablecell"/>
            </w:pPr>
            <w:r w:rsidRPr="00174B5A">
              <w:t>134</w:t>
            </w:r>
            <w:r w:rsidR="00CE78BA" w:rsidRPr="00174B5A">
              <w:t>.</w:t>
            </w:r>
            <w:r w:rsidRPr="00174B5A">
              <w:t>67 ± 5</w:t>
            </w:r>
            <w:r w:rsidR="00CE78BA" w:rsidRPr="00174B5A">
              <w:t>.</w:t>
            </w:r>
            <w:r w:rsidRPr="00174B5A">
              <w:t>02</w:t>
            </w:r>
          </w:p>
        </w:tc>
      </w:tr>
      <w:tr w:rsidR="00513410" w:rsidRPr="00174B5A" w:rsidTr="00930143">
        <w:trPr>
          <w:trHeight w:val="355"/>
        </w:trPr>
        <w:tc>
          <w:tcPr>
            <w:tcW w:w="1066" w:type="pct"/>
            <w:shd w:val="clear" w:color="auto" w:fill="FFFFFF"/>
            <w:vAlign w:val="center"/>
          </w:tcPr>
          <w:p w:rsidR="00513410" w:rsidRPr="00174B5A" w:rsidRDefault="00BD65A6" w:rsidP="00EA212D">
            <w:pPr>
              <w:pStyle w:val="tablehead"/>
            </w:pPr>
            <w:r w:rsidRPr="00174B5A">
              <w:t>a</w:t>
            </w:r>
            <w:r w:rsidR="00DD4B3A" w:rsidRPr="00174B5A">
              <w:t>verage</w:t>
            </w:r>
            <w:r w:rsidRPr="00174B5A">
              <w:t xml:space="preserve">_RRdia </w:t>
            </w:r>
            <w:r w:rsidR="00513410" w:rsidRPr="00174B5A">
              <w:t>[mmHg]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74.55 ± 4.</w:t>
            </w:r>
            <w:r w:rsidR="00513410" w:rsidRPr="00174B5A">
              <w:t>50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69.86 ± 5.</w:t>
            </w:r>
            <w:r w:rsidR="00513410" w:rsidRPr="00174B5A">
              <w:t>26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72.16 ± 3.</w:t>
            </w:r>
            <w:r w:rsidR="00513410" w:rsidRPr="00174B5A">
              <w:t>10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74.39 ± 6.</w:t>
            </w:r>
            <w:r w:rsidR="00513410" w:rsidRPr="00174B5A">
              <w:t>99</w:t>
            </w:r>
          </w:p>
        </w:tc>
      </w:tr>
      <w:tr w:rsidR="00513410" w:rsidRPr="00174B5A" w:rsidTr="00930143">
        <w:trPr>
          <w:trHeight w:val="355"/>
        </w:trPr>
        <w:tc>
          <w:tcPr>
            <w:tcW w:w="1066" w:type="pct"/>
            <w:shd w:val="clear" w:color="auto" w:fill="FFFFFF"/>
            <w:vAlign w:val="center"/>
          </w:tcPr>
          <w:p w:rsidR="001A1EBA" w:rsidRPr="00174B5A" w:rsidRDefault="00BD65A6" w:rsidP="00EA212D">
            <w:pPr>
              <w:pStyle w:val="tablehead"/>
            </w:pPr>
            <w:r w:rsidRPr="00174B5A">
              <w:t>Average_</w:t>
            </w:r>
            <w:r w:rsidR="001A1EBA" w:rsidRPr="00174B5A">
              <w:t>H</w:t>
            </w:r>
            <w:r w:rsidR="00DD4B3A" w:rsidRPr="00174B5A">
              <w:t>R</w:t>
            </w:r>
            <w:r w:rsidR="00513410" w:rsidRPr="00174B5A">
              <w:t xml:space="preserve"> </w:t>
            </w:r>
          </w:p>
          <w:p w:rsidR="00513410" w:rsidRPr="00174B5A" w:rsidRDefault="00513410" w:rsidP="00EA212D">
            <w:pPr>
              <w:pStyle w:val="tablehead"/>
            </w:pPr>
            <w:r w:rsidRPr="00174B5A">
              <w:t>[min-1]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67.52 ± 7.</w:t>
            </w:r>
            <w:r w:rsidR="00513410" w:rsidRPr="00174B5A">
              <w:t>63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61.61 ± 7.</w:t>
            </w:r>
            <w:r w:rsidR="00513410" w:rsidRPr="00174B5A">
              <w:t>01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62.76 ± 9.</w:t>
            </w:r>
            <w:r w:rsidR="00513410" w:rsidRPr="00174B5A">
              <w:t>31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65.</w:t>
            </w:r>
            <w:r w:rsidR="00513410" w:rsidRPr="00174B5A">
              <w:t>65 ± 6</w:t>
            </w:r>
            <w:r w:rsidRPr="00174B5A">
              <w:t>.</w:t>
            </w:r>
            <w:r w:rsidR="00513410" w:rsidRPr="00174B5A">
              <w:t>02</w:t>
            </w:r>
          </w:p>
        </w:tc>
      </w:tr>
      <w:tr w:rsidR="00513410" w:rsidRPr="00174B5A" w:rsidTr="00930143">
        <w:trPr>
          <w:trHeight w:val="355"/>
        </w:trPr>
        <w:tc>
          <w:tcPr>
            <w:tcW w:w="1066" w:type="pct"/>
            <w:shd w:val="clear" w:color="auto" w:fill="FFFFFF"/>
            <w:vAlign w:val="center"/>
          </w:tcPr>
          <w:p w:rsidR="00513410" w:rsidRPr="00174B5A" w:rsidRDefault="00BD65A6" w:rsidP="00EA212D">
            <w:pPr>
              <w:pStyle w:val="tablehead"/>
            </w:pPr>
            <w:r w:rsidRPr="00174B5A">
              <w:t>Average_MAP</w:t>
            </w:r>
            <w:r w:rsidR="00513410" w:rsidRPr="00174B5A">
              <w:t xml:space="preserve"> [mmHg]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96.79 ± 3.</w:t>
            </w:r>
            <w:r w:rsidR="00513410" w:rsidRPr="00174B5A">
              <w:t>43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89.96 ± 4.</w:t>
            </w:r>
            <w:r w:rsidR="00513410" w:rsidRPr="00174B5A">
              <w:t>54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92.71 ± 3.</w:t>
            </w:r>
            <w:r w:rsidR="00513410" w:rsidRPr="00174B5A">
              <w:t>61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94.49 ± 6.</w:t>
            </w:r>
            <w:r w:rsidR="00513410" w:rsidRPr="00174B5A">
              <w:t>03</w:t>
            </w:r>
          </w:p>
        </w:tc>
      </w:tr>
      <w:tr w:rsidR="00513410" w:rsidRPr="00174B5A" w:rsidTr="00930143">
        <w:trPr>
          <w:trHeight w:val="355"/>
        </w:trPr>
        <w:tc>
          <w:tcPr>
            <w:tcW w:w="1066" w:type="pct"/>
            <w:shd w:val="clear" w:color="auto" w:fill="FFFFFF"/>
            <w:vAlign w:val="center"/>
          </w:tcPr>
          <w:p w:rsidR="00513410" w:rsidRPr="00174B5A" w:rsidRDefault="00BD65A6" w:rsidP="00EA212D">
            <w:pPr>
              <w:pStyle w:val="tablehead"/>
            </w:pPr>
            <w:r w:rsidRPr="00174B5A">
              <w:t>average_PP</w:t>
            </w:r>
            <w:r w:rsidR="00513410" w:rsidRPr="00174B5A">
              <w:t xml:space="preserve"> [mmHg]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66.71 ± 10.</w:t>
            </w:r>
            <w:r w:rsidR="00513410" w:rsidRPr="00174B5A">
              <w:t>21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60.</w:t>
            </w:r>
            <w:r w:rsidR="00513410" w:rsidRPr="00174B5A">
              <w:t>30 ± 4</w:t>
            </w:r>
            <w:r w:rsidRPr="00174B5A">
              <w:t>.</w:t>
            </w:r>
            <w:r w:rsidR="00513410" w:rsidRPr="00174B5A">
              <w:t>04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61.65 ± 5.</w:t>
            </w:r>
            <w:r w:rsidR="00513410" w:rsidRPr="00174B5A">
              <w:t>67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60.28 ± 4.</w:t>
            </w:r>
            <w:r w:rsidR="00513410" w:rsidRPr="00174B5A">
              <w:t>58</w:t>
            </w:r>
          </w:p>
        </w:tc>
      </w:tr>
      <w:tr w:rsidR="00513410" w:rsidRPr="00174B5A" w:rsidTr="00930143">
        <w:trPr>
          <w:trHeight w:val="355"/>
        </w:trPr>
        <w:tc>
          <w:tcPr>
            <w:tcW w:w="1066" w:type="pct"/>
            <w:shd w:val="clear" w:color="auto" w:fill="FFFFFF"/>
            <w:vAlign w:val="center"/>
          </w:tcPr>
          <w:p w:rsidR="00513410" w:rsidRPr="00174B5A" w:rsidRDefault="00643EC9" w:rsidP="00EA212D">
            <w:pPr>
              <w:pStyle w:val="tablehead"/>
            </w:pPr>
            <w:r w:rsidRPr="00174B5A">
              <w:t>daily_average_</w:t>
            </w:r>
            <w:r w:rsidR="001A1EBA" w:rsidRPr="00174B5A">
              <w:t>RRsys</w:t>
            </w:r>
            <w:r w:rsidRPr="00174B5A">
              <w:t xml:space="preserve"> </w:t>
            </w:r>
            <w:r w:rsidR="00513410" w:rsidRPr="00174B5A">
              <w:t>[mmHg]</w:t>
            </w:r>
          </w:p>
        </w:tc>
        <w:tc>
          <w:tcPr>
            <w:tcW w:w="983" w:type="pct"/>
            <w:vAlign w:val="center"/>
          </w:tcPr>
          <w:p w:rsidR="00513410" w:rsidRPr="00174B5A" w:rsidRDefault="00513410" w:rsidP="00EA212D">
            <w:pPr>
              <w:pStyle w:val="tablecell"/>
            </w:pPr>
            <w:r w:rsidRPr="00174B5A">
              <w:t>146</w:t>
            </w:r>
            <w:r w:rsidR="00CE78BA" w:rsidRPr="00174B5A">
              <w:t>.61 ± 9.</w:t>
            </w:r>
            <w:r w:rsidRPr="00174B5A">
              <w:t>24</w:t>
            </w:r>
          </w:p>
        </w:tc>
        <w:tc>
          <w:tcPr>
            <w:tcW w:w="984" w:type="pct"/>
            <w:vAlign w:val="center"/>
          </w:tcPr>
          <w:p w:rsidR="00513410" w:rsidRPr="00174B5A" w:rsidRDefault="0063761D" w:rsidP="00EA212D">
            <w:pPr>
              <w:pStyle w:val="tablecell"/>
            </w:pPr>
            <w:r w:rsidRPr="00174B5A">
              <w:t>13.</w:t>
            </w:r>
            <w:r w:rsidR="00CE78BA" w:rsidRPr="00174B5A">
              <w:t>80 ± 5.</w:t>
            </w:r>
            <w:r w:rsidR="00513410" w:rsidRPr="00174B5A">
              <w:t>60</w:t>
            </w:r>
          </w:p>
        </w:tc>
        <w:tc>
          <w:tcPr>
            <w:tcW w:w="983" w:type="pct"/>
            <w:vAlign w:val="center"/>
          </w:tcPr>
          <w:p w:rsidR="00513410" w:rsidRPr="00174B5A" w:rsidRDefault="00513410" w:rsidP="00EA212D">
            <w:pPr>
              <w:pStyle w:val="tablecell"/>
            </w:pPr>
            <w:r w:rsidRPr="00174B5A">
              <w:t>140</w:t>
            </w:r>
            <w:r w:rsidR="00CE78BA" w:rsidRPr="00174B5A">
              <w:t>.30 ± 7.</w:t>
            </w:r>
            <w:r w:rsidRPr="00174B5A">
              <w:t>74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141.</w:t>
            </w:r>
            <w:r w:rsidR="00513410" w:rsidRPr="00174B5A">
              <w:t>09 ± 5</w:t>
            </w:r>
            <w:r w:rsidRPr="00174B5A">
              <w:t>.</w:t>
            </w:r>
            <w:r w:rsidR="00513410" w:rsidRPr="00174B5A">
              <w:t>41</w:t>
            </w:r>
          </w:p>
        </w:tc>
      </w:tr>
      <w:tr w:rsidR="00513410" w:rsidRPr="00174B5A" w:rsidTr="00930143">
        <w:trPr>
          <w:trHeight w:val="355"/>
        </w:trPr>
        <w:tc>
          <w:tcPr>
            <w:tcW w:w="1066" w:type="pct"/>
            <w:shd w:val="clear" w:color="auto" w:fill="FFFFFF"/>
            <w:vAlign w:val="center"/>
          </w:tcPr>
          <w:p w:rsidR="00513410" w:rsidRPr="00174B5A" w:rsidRDefault="00BD65A6" w:rsidP="00EA212D">
            <w:pPr>
              <w:pStyle w:val="tablehead"/>
            </w:pPr>
            <w:r w:rsidRPr="00174B5A">
              <w:t xml:space="preserve">night_average_RRsys </w:t>
            </w:r>
            <w:r w:rsidR="00513410" w:rsidRPr="00174B5A">
              <w:t>[mmHg]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122.</w:t>
            </w:r>
            <w:r w:rsidR="00513410" w:rsidRPr="00174B5A">
              <w:t>19 ± 6</w:t>
            </w:r>
            <w:r w:rsidRPr="00174B5A">
              <w:t>.</w:t>
            </w:r>
            <w:r w:rsidR="00513410" w:rsidRPr="00174B5A">
              <w:t>04</w:t>
            </w:r>
          </w:p>
        </w:tc>
        <w:tc>
          <w:tcPr>
            <w:tcW w:w="984" w:type="pct"/>
            <w:vAlign w:val="center"/>
          </w:tcPr>
          <w:p w:rsidR="00513410" w:rsidRPr="00174B5A" w:rsidRDefault="00513410" w:rsidP="00EA212D">
            <w:pPr>
              <w:pStyle w:val="tablecell"/>
            </w:pPr>
            <w:r w:rsidRPr="00174B5A">
              <w:t>114</w:t>
            </w:r>
            <w:r w:rsidR="00CE78BA" w:rsidRPr="00174B5A">
              <w:t>.</w:t>
            </w:r>
            <w:r w:rsidRPr="00174B5A">
              <w:t>07 ± 4</w:t>
            </w:r>
            <w:r w:rsidR="00CE78BA" w:rsidRPr="00174B5A">
              <w:t>.</w:t>
            </w:r>
            <w:r w:rsidRPr="00174B5A">
              <w:t>19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116.</w:t>
            </w:r>
            <w:r w:rsidR="00513410" w:rsidRPr="00174B5A">
              <w:t>33 ± 6</w:t>
            </w:r>
            <w:r w:rsidRPr="00174B5A">
              <w:t>.</w:t>
            </w:r>
            <w:r w:rsidR="00513410" w:rsidRPr="00174B5A">
              <w:t>13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119.71 ± 7.</w:t>
            </w:r>
            <w:r w:rsidR="00513410" w:rsidRPr="00174B5A">
              <w:t>21</w:t>
            </w:r>
          </w:p>
        </w:tc>
      </w:tr>
      <w:tr w:rsidR="00513410" w:rsidRPr="00174B5A" w:rsidTr="00930143">
        <w:trPr>
          <w:trHeight w:val="355"/>
        </w:trPr>
        <w:tc>
          <w:tcPr>
            <w:tcW w:w="1066" w:type="pct"/>
            <w:shd w:val="clear" w:color="auto" w:fill="FFFFFF"/>
            <w:vAlign w:val="center"/>
          </w:tcPr>
          <w:p w:rsidR="00513410" w:rsidRPr="00174B5A" w:rsidRDefault="00BD65A6" w:rsidP="00EA212D">
            <w:pPr>
              <w:pStyle w:val="tablehead"/>
            </w:pPr>
            <w:r w:rsidRPr="00174B5A">
              <w:t>daily_average_</w:t>
            </w:r>
            <w:r w:rsidR="001A1EBA" w:rsidRPr="00174B5A">
              <w:t>RRdia</w:t>
            </w:r>
            <w:r w:rsidRPr="00174B5A">
              <w:t xml:space="preserve"> </w:t>
            </w:r>
            <w:r w:rsidR="00513410" w:rsidRPr="00174B5A">
              <w:t>[mmHg]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77.34 ± 4.</w:t>
            </w:r>
            <w:r w:rsidR="00513410" w:rsidRPr="00174B5A">
              <w:t>82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72.59 ± 5.</w:t>
            </w:r>
            <w:r w:rsidR="00513410" w:rsidRPr="00174B5A">
              <w:t>72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76.</w:t>
            </w:r>
            <w:r w:rsidR="00513410" w:rsidRPr="00174B5A">
              <w:t>1</w:t>
            </w:r>
            <w:r w:rsidRPr="00174B5A">
              <w:t>0 ± 3.</w:t>
            </w:r>
            <w:r w:rsidR="00513410" w:rsidRPr="00174B5A">
              <w:t>67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77.93 ± 6.</w:t>
            </w:r>
            <w:r w:rsidR="00513410" w:rsidRPr="00174B5A">
              <w:t>63</w:t>
            </w:r>
          </w:p>
        </w:tc>
      </w:tr>
      <w:tr w:rsidR="00513410" w:rsidRPr="00174B5A" w:rsidTr="00930143">
        <w:trPr>
          <w:trHeight w:val="355"/>
        </w:trPr>
        <w:tc>
          <w:tcPr>
            <w:tcW w:w="1066" w:type="pct"/>
            <w:shd w:val="clear" w:color="auto" w:fill="FFFFFF"/>
            <w:vAlign w:val="center"/>
          </w:tcPr>
          <w:p w:rsidR="00513410" w:rsidRPr="00174B5A" w:rsidRDefault="00BD65A6" w:rsidP="00EA212D">
            <w:pPr>
              <w:pStyle w:val="tablehead"/>
            </w:pPr>
            <w:r w:rsidRPr="00174B5A">
              <w:t>night_average_RRdia</w:t>
            </w:r>
            <w:r w:rsidR="00513410" w:rsidRPr="00174B5A">
              <w:t xml:space="preserve"> [mmHg]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65.24 ± 6.</w:t>
            </w:r>
            <w:r w:rsidR="00513410" w:rsidRPr="00174B5A">
              <w:t>83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62.27 ± 7.</w:t>
            </w:r>
            <w:r w:rsidR="00513410" w:rsidRPr="00174B5A">
              <w:t>10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62.02 ± 4.</w:t>
            </w:r>
            <w:r w:rsidR="00513410" w:rsidRPr="00174B5A">
              <w:t>77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65.67 ± 7.</w:t>
            </w:r>
            <w:r w:rsidR="00513410" w:rsidRPr="00174B5A">
              <w:t>76</w:t>
            </w:r>
          </w:p>
        </w:tc>
      </w:tr>
      <w:tr w:rsidR="00513410" w:rsidRPr="00174B5A" w:rsidTr="00930143">
        <w:trPr>
          <w:trHeight w:val="355"/>
        </w:trPr>
        <w:tc>
          <w:tcPr>
            <w:tcW w:w="1066" w:type="pct"/>
            <w:shd w:val="clear" w:color="auto" w:fill="FFFFFF"/>
            <w:vAlign w:val="center"/>
          </w:tcPr>
          <w:p w:rsidR="00513410" w:rsidRPr="00174B5A" w:rsidRDefault="00BD65A6" w:rsidP="00EA212D">
            <w:pPr>
              <w:pStyle w:val="tablehead"/>
            </w:pPr>
            <w:r w:rsidRPr="00174B5A">
              <w:t>daily_average_HR</w:t>
            </w:r>
            <w:r w:rsidR="00513410" w:rsidRPr="00174B5A">
              <w:t xml:space="preserve"> [min-1]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71.58 ± 9.</w:t>
            </w:r>
            <w:r w:rsidR="00513410" w:rsidRPr="00174B5A">
              <w:t>12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63.98 ± 7.</w:t>
            </w:r>
            <w:r w:rsidR="00513410" w:rsidRPr="00174B5A">
              <w:t>78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66.</w:t>
            </w:r>
            <w:r w:rsidR="00513410" w:rsidRPr="00174B5A">
              <w:t>93 ± 10</w:t>
            </w:r>
            <w:r w:rsidRPr="00174B5A">
              <w:t>.</w:t>
            </w:r>
            <w:r w:rsidR="00513410" w:rsidRPr="00174B5A">
              <w:t>62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68.98 ± 6.</w:t>
            </w:r>
            <w:r w:rsidR="00513410" w:rsidRPr="00174B5A">
              <w:t>84</w:t>
            </w:r>
          </w:p>
        </w:tc>
      </w:tr>
      <w:tr w:rsidR="00513410" w:rsidRPr="00174B5A" w:rsidTr="00930143">
        <w:trPr>
          <w:trHeight w:val="355"/>
        </w:trPr>
        <w:tc>
          <w:tcPr>
            <w:tcW w:w="1066" w:type="pct"/>
            <w:shd w:val="clear" w:color="auto" w:fill="FFFFFF"/>
            <w:vAlign w:val="center"/>
          </w:tcPr>
          <w:p w:rsidR="00513410" w:rsidRPr="00174B5A" w:rsidRDefault="00BD65A6" w:rsidP="00EA212D">
            <w:pPr>
              <w:pStyle w:val="tablehead"/>
            </w:pPr>
            <w:r w:rsidRPr="00174B5A">
              <w:t>night_average_</w:t>
            </w:r>
            <w:r w:rsidR="001A1EBA" w:rsidRPr="00174B5A">
              <w:t>HR</w:t>
            </w:r>
            <w:r w:rsidRPr="00174B5A">
              <w:t xml:space="preserve"> </w:t>
            </w:r>
            <w:r w:rsidR="00513410" w:rsidRPr="00174B5A">
              <w:t>[min-1]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54.64 ± 4.</w:t>
            </w:r>
            <w:r w:rsidR="00513410" w:rsidRPr="00174B5A">
              <w:t>33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54.53 ± 7.</w:t>
            </w:r>
            <w:r w:rsidR="00513410" w:rsidRPr="00174B5A">
              <w:t>73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51.72 ± 6.</w:t>
            </w:r>
            <w:r w:rsidR="00513410" w:rsidRPr="00174B5A">
              <w:t>56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56.88 ± 4.</w:t>
            </w:r>
            <w:r w:rsidR="00513410" w:rsidRPr="00174B5A">
              <w:t>63</w:t>
            </w:r>
          </w:p>
        </w:tc>
      </w:tr>
      <w:tr w:rsidR="00513410" w:rsidRPr="00174B5A" w:rsidTr="00930143">
        <w:trPr>
          <w:trHeight w:val="355"/>
        </w:trPr>
        <w:tc>
          <w:tcPr>
            <w:tcW w:w="1066" w:type="pct"/>
            <w:shd w:val="clear" w:color="auto" w:fill="FFFFFF"/>
            <w:vAlign w:val="center"/>
          </w:tcPr>
          <w:p w:rsidR="00513410" w:rsidRPr="00174B5A" w:rsidRDefault="00BD65A6" w:rsidP="00EA212D">
            <w:pPr>
              <w:pStyle w:val="tablehead"/>
            </w:pPr>
            <w:r w:rsidRPr="00174B5A">
              <w:lastRenderedPageBreak/>
              <w:t>daily_average_</w:t>
            </w:r>
            <w:r w:rsidR="00513410" w:rsidRPr="00174B5A">
              <w:t>MAP [mmHg]</w:t>
            </w:r>
          </w:p>
        </w:tc>
        <w:tc>
          <w:tcPr>
            <w:tcW w:w="983" w:type="pct"/>
            <w:vAlign w:val="center"/>
          </w:tcPr>
          <w:p w:rsidR="00513410" w:rsidRPr="00174B5A" w:rsidRDefault="00513410" w:rsidP="00EA212D">
            <w:pPr>
              <w:pStyle w:val="tablecell"/>
            </w:pPr>
            <w:r w:rsidRPr="00174B5A">
              <w:t>100</w:t>
            </w:r>
            <w:r w:rsidR="00CE78BA" w:rsidRPr="00174B5A">
              <w:t>.</w:t>
            </w:r>
            <w:r w:rsidRPr="00174B5A">
              <w:t>43 ± 3</w:t>
            </w:r>
            <w:r w:rsidR="00CE78BA" w:rsidRPr="00174B5A">
              <w:t>.</w:t>
            </w:r>
            <w:r w:rsidRPr="00174B5A">
              <w:t>62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93.66 ± 5.</w:t>
            </w:r>
            <w:r w:rsidR="00513410" w:rsidRPr="00174B5A">
              <w:t>29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97.54 ± 4.</w:t>
            </w:r>
            <w:r w:rsidR="00513410" w:rsidRPr="00174B5A">
              <w:t>45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98.81 ± 5.</w:t>
            </w:r>
            <w:r w:rsidR="00513410" w:rsidRPr="00174B5A">
              <w:t>76</w:t>
            </w:r>
          </w:p>
        </w:tc>
      </w:tr>
      <w:tr w:rsidR="00513410" w:rsidRPr="00174B5A" w:rsidTr="00930143">
        <w:trPr>
          <w:trHeight w:val="355"/>
        </w:trPr>
        <w:tc>
          <w:tcPr>
            <w:tcW w:w="1066" w:type="pct"/>
            <w:shd w:val="clear" w:color="auto" w:fill="FFFFFF"/>
            <w:vAlign w:val="center"/>
          </w:tcPr>
          <w:p w:rsidR="00513410" w:rsidRPr="00174B5A" w:rsidRDefault="00BD65A6" w:rsidP="00EA212D">
            <w:pPr>
              <w:pStyle w:val="tablehead"/>
            </w:pPr>
            <w:r w:rsidRPr="00174B5A">
              <w:t>night_average_MAP</w:t>
            </w:r>
            <w:r w:rsidR="00513410" w:rsidRPr="00174B5A">
              <w:t xml:space="preserve"> [mmHg]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84.</w:t>
            </w:r>
            <w:r w:rsidR="00513410" w:rsidRPr="00174B5A">
              <w:t>23 ± 5</w:t>
            </w:r>
            <w:r w:rsidRPr="00174B5A">
              <w:t>.</w:t>
            </w:r>
            <w:r w:rsidR="00513410" w:rsidRPr="00174B5A">
              <w:t>48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79.53 ± 5.</w:t>
            </w:r>
            <w:r w:rsidR="00513410" w:rsidRPr="00174B5A">
              <w:t>12</w:t>
            </w:r>
          </w:p>
        </w:tc>
        <w:tc>
          <w:tcPr>
            <w:tcW w:w="983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80.</w:t>
            </w:r>
            <w:r w:rsidR="00513410" w:rsidRPr="00174B5A">
              <w:t>67 ± 5</w:t>
            </w:r>
            <w:r w:rsidRPr="00174B5A">
              <w:t>.</w:t>
            </w:r>
            <w:r w:rsidR="00513410" w:rsidRPr="00174B5A">
              <w:t>06</w:t>
            </w:r>
          </w:p>
        </w:tc>
        <w:tc>
          <w:tcPr>
            <w:tcW w:w="984" w:type="pct"/>
            <w:vAlign w:val="center"/>
          </w:tcPr>
          <w:p w:rsidR="00513410" w:rsidRPr="00174B5A" w:rsidRDefault="00CE78BA" w:rsidP="00EA212D">
            <w:pPr>
              <w:pStyle w:val="tablecell"/>
            </w:pPr>
            <w:r w:rsidRPr="00174B5A">
              <w:t>83.69 ± 7.</w:t>
            </w:r>
            <w:r w:rsidR="00513410" w:rsidRPr="00174B5A">
              <w:t>14</w:t>
            </w:r>
          </w:p>
        </w:tc>
      </w:tr>
    </w:tbl>
    <w:p w:rsidR="00B34606" w:rsidRPr="00174B5A" w:rsidRDefault="00705E48" w:rsidP="00EA212D">
      <w:pPr>
        <w:spacing w:before="480"/>
      </w:pPr>
      <w:r w:rsidRPr="00174B5A">
        <w:t>The</w:t>
      </w:r>
      <w:r w:rsidR="00B34606" w:rsidRPr="00174B5A">
        <w:t xml:space="preserve">se results </w:t>
      </w:r>
      <w:r w:rsidR="00682471" w:rsidRPr="00174B5A">
        <w:t>are confirmed</w:t>
      </w:r>
      <w:r w:rsidR="00B34606" w:rsidRPr="00174B5A">
        <w:t xml:space="preserve"> by the comparison of the empirically determined </w:t>
      </w:r>
      <w:r w:rsidR="00872E5D" w:rsidRPr="00174B5A">
        <w:t>Χ²-</w:t>
      </w:r>
      <w:r w:rsidR="00B34606" w:rsidRPr="00174B5A">
        <w:t xml:space="preserve">values with the determined critical </w:t>
      </w:r>
      <w:r w:rsidR="00872E5D" w:rsidRPr="00174B5A">
        <w:t>Χ²-</w:t>
      </w:r>
      <w:r w:rsidR="00B34606" w:rsidRPr="00174B5A">
        <w:t>values</w:t>
      </w:r>
      <w:r w:rsidR="00872E5D" w:rsidRPr="00174B5A">
        <w:t xml:space="preserve"> (=</w:t>
      </w:r>
      <w:r w:rsidR="00A259AD">
        <w:t xml:space="preserve"> </w:t>
      </w:r>
      <w:r w:rsidR="00872E5D" w:rsidRPr="00174B5A">
        <w:t>7</w:t>
      </w:r>
      <w:r w:rsidR="00B34606" w:rsidRPr="00174B5A">
        <w:t>.</w:t>
      </w:r>
      <w:r w:rsidR="00872E5D" w:rsidRPr="00174B5A">
        <w:t xml:space="preserve">81). </w:t>
      </w:r>
      <w:r w:rsidR="00B34606" w:rsidRPr="00174B5A">
        <w:t xml:space="preserve">The subsequent detailed result interpretation, </w:t>
      </w:r>
      <w:r w:rsidR="008A1F4B" w:rsidRPr="00174B5A">
        <w:t>using</w:t>
      </w:r>
      <w:r w:rsidR="00B34606" w:rsidRPr="00174B5A">
        <w:t xml:space="preserve"> the post-hoc </w:t>
      </w:r>
      <w:r w:rsidR="008A1F4B" w:rsidRPr="00174B5A">
        <w:t>analysis</w:t>
      </w:r>
      <w:r w:rsidR="00B34606" w:rsidRPr="00174B5A">
        <w:t xml:space="preserve"> with </w:t>
      </w:r>
      <w:r w:rsidR="00223EEF" w:rsidRPr="00174B5A">
        <w:t>two-sided</w:t>
      </w:r>
      <w:r w:rsidR="00B34606" w:rsidRPr="00174B5A">
        <w:t xml:space="preserve"> </w:t>
      </w:r>
      <w:r w:rsidR="00223EEF" w:rsidRPr="00174B5A">
        <w:t>interrogation</w:t>
      </w:r>
      <w:r w:rsidR="00B34606" w:rsidRPr="00174B5A">
        <w:t xml:space="preserve"> for the calculation of the critic</w:t>
      </w:r>
      <w:r w:rsidR="00223EEF" w:rsidRPr="00174B5A">
        <w:t>al</w:t>
      </w:r>
      <w:r w:rsidR="00B34606" w:rsidRPr="00174B5A">
        <w:t xml:space="preserve"> difference </w:t>
      </w:r>
      <w:r w:rsidR="00933F61" w:rsidRPr="00174B5A">
        <w:t>(=</w:t>
      </w:r>
      <w:r w:rsidR="00A259AD" w:rsidRPr="00174B5A">
        <w:t> </w:t>
      </w:r>
      <w:r w:rsidR="00933F61" w:rsidRPr="00174B5A">
        <w:t>1</w:t>
      </w:r>
      <w:r w:rsidR="00B34606" w:rsidRPr="00174B5A">
        <w:t>.</w:t>
      </w:r>
      <w:r w:rsidR="00933F61" w:rsidRPr="00174B5A">
        <w:t>93)</w:t>
      </w:r>
      <w:r w:rsidR="00131EBA" w:rsidRPr="00174B5A">
        <w:t>,</w:t>
      </w:r>
      <w:r w:rsidR="00933F61" w:rsidRPr="00174B5A">
        <w:t xml:space="preserve"> </w:t>
      </w:r>
      <w:r w:rsidR="00223EEF" w:rsidRPr="00174B5A">
        <w:t>reveals</w:t>
      </w:r>
      <w:r w:rsidR="00B34606" w:rsidRPr="00174B5A">
        <w:t xml:space="preserve"> that the systolic blood pressure values</w:t>
      </w:r>
      <w:r w:rsidR="00872E5D" w:rsidRPr="00174B5A">
        <w:t xml:space="preserve"> (</w:t>
      </w:r>
      <w:r w:rsidR="002843A7" w:rsidRPr="00174B5A">
        <w:t xml:space="preserve">average, </w:t>
      </w:r>
      <w:r w:rsidR="00131EBA" w:rsidRPr="00174B5A">
        <w:t>daily</w:t>
      </w:r>
      <w:r w:rsidR="002843A7" w:rsidRPr="00174B5A">
        <w:t xml:space="preserve"> </w:t>
      </w:r>
      <w:r w:rsidR="00B34606" w:rsidRPr="00174B5A">
        <w:t xml:space="preserve">and night </w:t>
      </w:r>
      <w:r w:rsidR="002843A7" w:rsidRPr="00174B5A">
        <w:t>average</w:t>
      </w:r>
      <w:r w:rsidR="00872E5D" w:rsidRPr="00174B5A">
        <w:t xml:space="preserve">), </w:t>
      </w:r>
      <w:r w:rsidR="00B34606" w:rsidRPr="00174B5A">
        <w:t>the heart rate</w:t>
      </w:r>
      <w:r w:rsidR="00872E5D" w:rsidRPr="00174B5A">
        <w:t xml:space="preserve"> (</w:t>
      </w:r>
      <w:r w:rsidR="00B34606" w:rsidRPr="00174B5A">
        <w:t xml:space="preserve">daily </w:t>
      </w:r>
      <w:r w:rsidR="002843A7" w:rsidRPr="00174B5A">
        <w:t>average</w:t>
      </w:r>
      <w:r w:rsidR="00872E5D" w:rsidRPr="00174B5A">
        <w:t xml:space="preserve">) </w:t>
      </w:r>
      <w:r w:rsidR="00B34606" w:rsidRPr="00174B5A">
        <w:t xml:space="preserve">and the </w:t>
      </w:r>
      <w:r w:rsidR="002843A7" w:rsidRPr="00174B5A">
        <w:t xml:space="preserve">mean </w:t>
      </w:r>
      <w:r w:rsidR="00B34606" w:rsidRPr="00174B5A">
        <w:t>arterial pressure (</w:t>
      </w:r>
      <w:r w:rsidR="002843A7" w:rsidRPr="00174B5A">
        <w:t>average</w:t>
      </w:r>
      <w:r w:rsidR="00B34606" w:rsidRPr="00174B5A">
        <w:t>) differ significantly from each other between the first and second measurement</w:t>
      </w:r>
      <w:r w:rsidR="00872E5D" w:rsidRPr="00174B5A">
        <w:t>.</w:t>
      </w:r>
      <w:r w:rsidR="00B34606" w:rsidRPr="00174B5A">
        <w:t xml:space="preserve"> All other differences </w:t>
      </w:r>
      <w:r w:rsidR="002843A7" w:rsidRPr="00174B5A">
        <w:t>indicated</w:t>
      </w:r>
      <w:r w:rsidR="00B34606" w:rsidRPr="00174B5A">
        <w:t xml:space="preserve"> no significant </w:t>
      </w:r>
      <w:r w:rsidR="002843A7" w:rsidRPr="00174B5A">
        <w:t>change</w:t>
      </w:r>
      <w:r w:rsidR="00B34606" w:rsidRPr="00174B5A">
        <w:t>.</w:t>
      </w:r>
    </w:p>
    <w:p w:rsidR="00C211AD" w:rsidRPr="00174B5A" w:rsidRDefault="00DD4B3A" w:rsidP="00EA212D">
      <w:pPr>
        <w:pStyle w:val="tabletitle"/>
      </w:pPr>
      <w:r w:rsidRPr="00174B5A">
        <w:t>Tab</w:t>
      </w:r>
      <w:r w:rsidR="00B34606" w:rsidRPr="00174B5A">
        <w:t xml:space="preserve">le </w:t>
      </w:r>
      <w:r w:rsidR="009F38EB">
        <w:t>3</w:t>
      </w:r>
      <w:r w:rsidR="004B5D3F" w:rsidRPr="00174B5A">
        <w:t xml:space="preserve"> </w:t>
      </w:r>
      <w:r w:rsidR="00B34606" w:rsidRPr="00174B5A">
        <w:t xml:space="preserve">blood pressure parameters </w:t>
      </w:r>
      <w:r w:rsidR="00C211AD" w:rsidRPr="00174B5A">
        <w:t xml:space="preserve">&amp; </w:t>
      </w:r>
      <w:r w:rsidR="00B34606" w:rsidRPr="00174B5A">
        <w:t>heart rate in the control group</w:t>
      </w:r>
      <w:r w:rsidRPr="00174B5A">
        <w:t xml:space="preserve"> (average</w:t>
      </w:r>
      <w:r w:rsidR="00131EBA" w:rsidRPr="00174B5A">
        <w:t xml:space="preserve"> values</w:t>
      </w:r>
      <w:r w:rsidRPr="00174B5A">
        <w:t xml:space="preserve"> &amp; </w:t>
      </w:r>
      <w:r w:rsidR="00131EBA" w:rsidRPr="00174B5A">
        <w:t>standard deviation</w:t>
      </w:r>
      <w:r w:rsidR="004B5D3F" w:rsidRPr="00174B5A">
        <w:t>)</w:t>
      </w:r>
    </w:p>
    <w:tbl>
      <w:tblPr>
        <w:tblW w:w="46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968"/>
        <w:gridCol w:w="968"/>
        <w:gridCol w:w="968"/>
      </w:tblGrid>
      <w:tr w:rsidR="00092A1B" w:rsidRPr="00174B5A" w:rsidTr="00092A1B">
        <w:tc>
          <w:tcPr>
            <w:tcW w:w="1250" w:type="pct"/>
            <w:shd w:val="clear" w:color="auto" w:fill="F2F2F2"/>
            <w:vAlign w:val="center"/>
          </w:tcPr>
          <w:p w:rsidR="00092A1B" w:rsidRPr="00174B5A" w:rsidRDefault="00131EBA" w:rsidP="00EA212D">
            <w:pPr>
              <w:pStyle w:val="tablehead"/>
            </w:pPr>
            <w:r w:rsidRPr="00174B5A">
              <w:t>m</w:t>
            </w:r>
            <w:r w:rsidR="00B34606" w:rsidRPr="00174B5A">
              <w:t>easurement</w:t>
            </w:r>
          </w:p>
        </w:tc>
        <w:tc>
          <w:tcPr>
            <w:tcW w:w="1250" w:type="pct"/>
            <w:shd w:val="clear" w:color="auto" w:fill="F2F2F2"/>
            <w:vAlign w:val="center"/>
          </w:tcPr>
          <w:p w:rsidR="00092A1B" w:rsidRPr="00174B5A" w:rsidRDefault="00092A1B" w:rsidP="00EA212D">
            <w:pPr>
              <w:pStyle w:val="tablehead"/>
            </w:pPr>
            <w:r w:rsidRPr="00174B5A">
              <w:t>1</w:t>
            </w:r>
          </w:p>
          <w:p w:rsidR="00B34606" w:rsidRPr="00174B5A" w:rsidRDefault="00131EBA" w:rsidP="00EA212D">
            <w:pPr>
              <w:pStyle w:val="tablehead"/>
            </w:pPr>
            <w:r w:rsidRPr="00174B5A">
              <w:t>b</w:t>
            </w:r>
            <w:r w:rsidR="00B34606" w:rsidRPr="00174B5A">
              <w:t>ase level</w:t>
            </w:r>
          </w:p>
          <w:p w:rsidR="00092A1B" w:rsidRPr="00174B5A" w:rsidRDefault="00092A1B" w:rsidP="00EA212D">
            <w:pPr>
              <w:pStyle w:val="tablehead"/>
            </w:pPr>
            <w:r w:rsidRPr="00174B5A">
              <w:t>(n = 9)</w:t>
            </w:r>
          </w:p>
        </w:tc>
        <w:tc>
          <w:tcPr>
            <w:tcW w:w="1250" w:type="pct"/>
            <w:shd w:val="clear" w:color="auto" w:fill="F2F2F2"/>
            <w:vAlign w:val="center"/>
          </w:tcPr>
          <w:p w:rsidR="00092A1B" w:rsidRPr="00174B5A" w:rsidRDefault="00092A1B" w:rsidP="00EA212D">
            <w:pPr>
              <w:pStyle w:val="tablehead"/>
            </w:pPr>
            <w:r w:rsidRPr="00174B5A">
              <w:t>2</w:t>
            </w:r>
          </w:p>
          <w:p w:rsidR="00B34606" w:rsidRPr="00174B5A" w:rsidRDefault="00092A1B" w:rsidP="00EA212D">
            <w:pPr>
              <w:pStyle w:val="tablehead"/>
            </w:pPr>
            <w:r w:rsidRPr="00174B5A">
              <w:t>3</w:t>
            </w:r>
            <w:r w:rsidR="00131EBA" w:rsidRPr="00174B5A">
              <w:t xml:space="preserve"> </w:t>
            </w:r>
            <w:r w:rsidRPr="00174B5A">
              <w:t>-</w:t>
            </w:r>
            <w:r w:rsidR="00131EBA" w:rsidRPr="00174B5A">
              <w:t xml:space="preserve"> </w:t>
            </w:r>
            <w:r w:rsidRPr="00174B5A">
              <w:t xml:space="preserve">6 </w:t>
            </w:r>
            <w:r w:rsidR="00B34606" w:rsidRPr="00174B5A">
              <w:t>months after the init</w:t>
            </w:r>
            <w:r w:rsidR="00DD4B3A" w:rsidRPr="00174B5A">
              <w:t>i</w:t>
            </w:r>
            <w:r w:rsidR="00B34606" w:rsidRPr="00174B5A">
              <w:t>al measurement</w:t>
            </w:r>
          </w:p>
          <w:p w:rsidR="00092A1B" w:rsidRPr="00174B5A" w:rsidRDefault="00092A1B" w:rsidP="00EA212D">
            <w:pPr>
              <w:pStyle w:val="tablehead"/>
            </w:pPr>
            <w:r w:rsidRPr="00174B5A">
              <w:t>(n = 9)</w:t>
            </w:r>
          </w:p>
        </w:tc>
        <w:tc>
          <w:tcPr>
            <w:tcW w:w="1250" w:type="pct"/>
            <w:shd w:val="clear" w:color="auto" w:fill="F2F2F2"/>
            <w:vAlign w:val="center"/>
          </w:tcPr>
          <w:p w:rsidR="00092A1B" w:rsidRPr="00174B5A" w:rsidRDefault="00092A1B" w:rsidP="00EA212D">
            <w:pPr>
              <w:pStyle w:val="tablehead"/>
            </w:pPr>
            <w:r w:rsidRPr="00174B5A">
              <w:t>4</w:t>
            </w:r>
          </w:p>
          <w:p w:rsidR="00B34606" w:rsidRPr="00174B5A" w:rsidRDefault="00092A1B" w:rsidP="00EA212D">
            <w:pPr>
              <w:pStyle w:val="tablehead"/>
            </w:pPr>
            <w:r w:rsidRPr="00174B5A">
              <w:t xml:space="preserve">3 </w:t>
            </w:r>
            <w:r w:rsidR="00B34606" w:rsidRPr="00174B5A">
              <w:t>months after the second measurement</w:t>
            </w:r>
          </w:p>
          <w:p w:rsidR="00092A1B" w:rsidRPr="00174B5A" w:rsidRDefault="00092A1B" w:rsidP="00EA212D">
            <w:pPr>
              <w:pStyle w:val="tablehead"/>
            </w:pPr>
            <w:r w:rsidRPr="00174B5A">
              <w:t>(n = 9)</w:t>
            </w:r>
          </w:p>
        </w:tc>
      </w:tr>
      <w:tr w:rsidR="00092A1B" w:rsidRPr="00174B5A" w:rsidTr="004B5D3F">
        <w:trPr>
          <w:trHeight w:val="343"/>
        </w:trPr>
        <w:tc>
          <w:tcPr>
            <w:tcW w:w="1250" w:type="pct"/>
            <w:shd w:val="clear" w:color="auto" w:fill="FFFFFF"/>
            <w:vAlign w:val="center"/>
          </w:tcPr>
          <w:p w:rsidR="00092A1B" w:rsidRPr="00174B5A" w:rsidRDefault="009B33D5" w:rsidP="00EA212D">
            <w:pPr>
              <w:pStyle w:val="tablehead"/>
            </w:pPr>
            <w:r w:rsidRPr="00174B5A">
              <w:t>average_RRsys</w:t>
            </w:r>
            <w:r w:rsidR="00092A1B" w:rsidRPr="00174B5A">
              <w:t xml:space="preserve"> [mmHg]</w:t>
            </w:r>
          </w:p>
        </w:tc>
        <w:tc>
          <w:tcPr>
            <w:tcW w:w="1250" w:type="pct"/>
            <w:vAlign w:val="center"/>
          </w:tcPr>
          <w:p w:rsidR="00092A1B" w:rsidRPr="00174B5A" w:rsidRDefault="00092A1B" w:rsidP="00EA212D">
            <w:pPr>
              <w:pStyle w:val="tablecell"/>
            </w:pPr>
            <w:r w:rsidRPr="00174B5A">
              <w:t>137</w:t>
            </w:r>
            <w:r w:rsidR="00B34606" w:rsidRPr="00174B5A">
              <w:t>.</w:t>
            </w:r>
            <w:r w:rsidRPr="00174B5A">
              <w:t>32 ± 2</w:t>
            </w:r>
            <w:r w:rsidR="00B34606" w:rsidRPr="00174B5A">
              <w:t>.</w:t>
            </w:r>
            <w:r w:rsidRPr="00174B5A">
              <w:t>74</w:t>
            </w:r>
          </w:p>
        </w:tc>
        <w:tc>
          <w:tcPr>
            <w:tcW w:w="1250" w:type="pct"/>
            <w:vAlign w:val="center"/>
          </w:tcPr>
          <w:p w:rsidR="00092A1B" w:rsidRPr="00174B5A" w:rsidRDefault="00092A1B" w:rsidP="00EA212D">
            <w:pPr>
              <w:pStyle w:val="tablecell"/>
            </w:pPr>
            <w:r w:rsidRPr="00174B5A">
              <w:t>137</w:t>
            </w:r>
            <w:r w:rsidR="00B34606" w:rsidRPr="00174B5A">
              <w:t>.</w:t>
            </w:r>
            <w:r w:rsidRPr="00174B5A">
              <w:t>53 ± 5</w:t>
            </w:r>
            <w:r w:rsidR="00B34606" w:rsidRPr="00174B5A">
              <w:t>.</w:t>
            </w:r>
            <w:r w:rsidRPr="00174B5A">
              <w:t>30</w:t>
            </w:r>
          </w:p>
        </w:tc>
        <w:tc>
          <w:tcPr>
            <w:tcW w:w="1250" w:type="pct"/>
            <w:vAlign w:val="center"/>
          </w:tcPr>
          <w:p w:rsidR="00092A1B" w:rsidRPr="00174B5A" w:rsidRDefault="00092A1B" w:rsidP="00EA212D">
            <w:pPr>
              <w:pStyle w:val="tablecell"/>
            </w:pPr>
            <w:r w:rsidRPr="00174B5A">
              <w:t>136</w:t>
            </w:r>
            <w:r w:rsidR="00B34606" w:rsidRPr="00174B5A">
              <w:t>.</w:t>
            </w:r>
            <w:r w:rsidRPr="00174B5A">
              <w:t>83 ± 8</w:t>
            </w:r>
            <w:r w:rsidR="00B34606" w:rsidRPr="00174B5A">
              <w:t>.</w:t>
            </w:r>
            <w:r w:rsidRPr="00174B5A">
              <w:t>23</w:t>
            </w:r>
          </w:p>
        </w:tc>
      </w:tr>
      <w:tr w:rsidR="00092A1B" w:rsidRPr="00174B5A" w:rsidTr="004B5D3F">
        <w:trPr>
          <w:trHeight w:val="343"/>
        </w:trPr>
        <w:tc>
          <w:tcPr>
            <w:tcW w:w="1250" w:type="pct"/>
            <w:shd w:val="clear" w:color="auto" w:fill="FFFFFF"/>
            <w:vAlign w:val="center"/>
          </w:tcPr>
          <w:p w:rsidR="00092A1B" w:rsidRPr="00174B5A" w:rsidRDefault="009B33D5" w:rsidP="00EA212D">
            <w:pPr>
              <w:pStyle w:val="tablehead"/>
            </w:pPr>
            <w:r w:rsidRPr="00174B5A">
              <w:t xml:space="preserve">average_RRdia </w:t>
            </w:r>
            <w:r w:rsidR="00092A1B" w:rsidRPr="00174B5A">
              <w:t>[mmHg]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73.90 ± 3.</w:t>
            </w:r>
            <w:r w:rsidR="00092A1B" w:rsidRPr="00174B5A">
              <w:t>56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75.20 ± 5.</w:t>
            </w:r>
            <w:r w:rsidR="00092A1B" w:rsidRPr="00174B5A">
              <w:t>62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75.00 ± 6.</w:t>
            </w:r>
            <w:r w:rsidR="00092A1B" w:rsidRPr="00174B5A">
              <w:t>47</w:t>
            </w:r>
          </w:p>
        </w:tc>
      </w:tr>
      <w:tr w:rsidR="00092A1B" w:rsidRPr="00174B5A" w:rsidTr="004B5D3F">
        <w:trPr>
          <w:trHeight w:val="343"/>
        </w:trPr>
        <w:tc>
          <w:tcPr>
            <w:tcW w:w="1250" w:type="pct"/>
            <w:shd w:val="clear" w:color="auto" w:fill="FFFFFF"/>
            <w:vAlign w:val="center"/>
          </w:tcPr>
          <w:p w:rsidR="00092A1B" w:rsidRPr="00174B5A" w:rsidRDefault="009B33D5" w:rsidP="00EA212D">
            <w:pPr>
              <w:pStyle w:val="tablehead"/>
            </w:pPr>
            <w:r w:rsidRPr="00174B5A">
              <w:t>average_</w:t>
            </w:r>
            <w:r w:rsidR="00DD4B3A" w:rsidRPr="00174B5A">
              <w:t>HR</w:t>
            </w:r>
          </w:p>
          <w:p w:rsidR="00092A1B" w:rsidRPr="00174B5A" w:rsidRDefault="00092A1B" w:rsidP="00EA212D">
            <w:pPr>
              <w:pStyle w:val="tablehead"/>
            </w:pPr>
            <w:r w:rsidRPr="00174B5A">
              <w:t>[min-1]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66.54 ± 5.</w:t>
            </w:r>
            <w:r w:rsidR="00092A1B" w:rsidRPr="00174B5A">
              <w:t>90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67.61 ± 7.</w:t>
            </w:r>
            <w:r w:rsidR="00092A1B" w:rsidRPr="00174B5A">
              <w:t>40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64.86 ± 3.</w:t>
            </w:r>
            <w:r w:rsidR="00092A1B" w:rsidRPr="00174B5A">
              <w:t>05</w:t>
            </w:r>
          </w:p>
        </w:tc>
      </w:tr>
      <w:tr w:rsidR="00092A1B" w:rsidRPr="00174B5A" w:rsidTr="004B5D3F">
        <w:trPr>
          <w:trHeight w:val="343"/>
        </w:trPr>
        <w:tc>
          <w:tcPr>
            <w:tcW w:w="1250" w:type="pct"/>
            <w:shd w:val="clear" w:color="auto" w:fill="FFFFFF"/>
            <w:vAlign w:val="center"/>
          </w:tcPr>
          <w:p w:rsidR="00092A1B" w:rsidRPr="00174B5A" w:rsidRDefault="009B33D5" w:rsidP="00EA212D">
            <w:pPr>
              <w:pStyle w:val="tablehead"/>
            </w:pPr>
            <w:r w:rsidRPr="00174B5A">
              <w:t>average_MAP</w:t>
            </w:r>
            <w:r w:rsidR="00092A1B" w:rsidRPr="00174B5A">
              <w:t xml:space="preserve"> [mmHg]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95.04 ± 2.</w:t>
            </w:r>
            <w:r w:rsidR="00092A1B" w:rsidRPr="00174B5A">
              <w:t>68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95.</w:t>
            </w:r>
            <w:r w:rsidR="00092A1B" w:rsidRPr="00174B5A">
              <w:t>98 ± 5</w:t>
            </w:r>
            <w:r w:rsidRPr="00174B5A">
              <w:t>.</w:t>
            </w:r>
            <w:r w:rsidR="00092A1B" w:rsidRPr="00174B5A">
              <w:t>28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95.61 ± 6.</w:t>
            </w:r>
            <w:r w:rsidR="00092A1B" w:rsidRPr="00174B5A">
              <w:t>80</w:t>
            </w:r>
          </w:p>
        </w:tc>
      </w:tr>
      <w:tr w:rsidR="00092A1B" w:rsidRPr="00174B5A" w:rsidTr="004B5D3F">
        <w:trPr>
          <w:trHeight w:val="343"/>
        </w:trPr>
        <w:tc>
          <w:tcPr>
            <w:tcW w:w="1250" w:type="pct"/>
            <w:shd w:val="clear" w:color="auto" w:fill="FFFFFF"/>
            <w:vAlign w:val="center"/>
          </w:tcPr>
          <w:p w:rsidR="00092A1B" w:rsidRPr="00174B5A" w:rsidRDefault="009B33D5" w:rsidP="00EA212D">
            <w:pPr>
              <w:pStyle w:val="tablehead"/>
            </w:pPr>
            <w:r w:rsidRPr="00174B5A">
              <w:t xml:space="preserve">average_PP </w:t>
            </w:r>
            <w:r w:rsidR="00092A1B" w:rsidRPr="00174B5A">
              <w:t>[mmHg]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63.</w:t>
            </w:r>
            <w:r w:rsidR="00092A1B" w:rsidRPr="00174B5A">
              <w:t>42 ±</w:t>
            </w:r>
            <w:r w:rsidRPr="00174B5A">
              <w:t xml:space="preserve"> 4.</w:t>
            </w:r>
            <w:r w:rsidR="00092A1B" w:rsidRPr="00174B5A">
              <w:t>13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62.34 ± 3.</w:t>
            </w:r>
            <w:r w:rsidR="00092A1B" w:rsidRPr="00174B5A">
              <w:t>44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61.82 ± 4.</w:t>
            </w:r>
            <w:r w:rsidR="00092A1B" w:rsidRPr="00174B5A">
              <w:t>37</w:t>
            </w:r>
          </w:p>
        </w:tc>
      </w:tr>
      <w:tr w:rsidR="00092A1B" w:rsidRPr="00174B5A" w:rsidTr="004B5D3F">
        <w:trPr>
          <w:trHeight w:val="343"/>
        </w:trPr>
        <w:tc>
          <w:tcPr>
            <w:tcW w:w="1250" w:type="pct"/>
            <w:shd w:val="clear" w:color="auto" w:fill="FFFFFF"/>
            <w:vAlign w:val="center"/>
          </w:tcPr>
          <w:p w:rsidR="00092A1B" w:rsidRPr="00174B5A" w:rsidRDefault="009B33D5" w:rsidP="00EA212D">
            <w:pPr>
              <w:pStyle w:val="tablehead"/>
            </w:pPr>
            <w:r w:rsidRPr="00174B5A">
              <w:t>daily_average_RRsys</w:t>
            </w:r>
            <w:r w:rsidR="00092A1B" w:rsidRPr="00174B5A">
              <w:t xml:space="preserve"> [mmHg]</w:t>
            </w:r>
          </w:p>
        </w:tc>
        <w:tc>
          <w:tcPr>
            <w:tcW w:w="1250" w:type="pct"/>
            <w:vAlign w:val="center"/>
          </w:tcPr>
          <w:p w:rsidR="00092A1B" w:rsidRPr="00174B5A" w:rsidRDefault="00092A1B" w:rsidP="00EA212D">
            <w:pPr>
              <w:pStyle w:val="tablecell"/>
            </w:pPr>
            <w:r w:rsidRPr="00174B5A">
              <w:t>143</w:t>
            </w:r>
            <w:r w:rsidR="00B34606" w:rsidRPr="00174B5A">
              <w:t>.86 ± 4.</w:t>
            </w:r>
            <w:r w:rsidRPr="00174B5A">
              <w:t>77</w:t>
            </w:r>
          </w:p>
        </w:tc>
        <w:tc>
          <w:tcPr>
            <w:tcW w:w="1250" w:type="pct"/>
            <w:vAlign w:val="center"/>
          </w:tcPr>
          <w:p w:rsidR="00092A1B" w:rsidRPr="00174B5A" w:rsidRDefault="00092A1B" w:rsidP="00EA212D">
            <w:pPr>
              <w:pStyle w:val="tablecell"/>
            </w:pPr>
            <w:r w:rsidRPr="00174B5A">
              <w:t>144</w:t>
            </w:r>
            <w:r w:rsidR="00B34606" w:rsidRPr="00174B5A">
              <w:t>.24 ± 8.</w:t>
            </w:r>
            <w:r w:rsidRPr="00174B5A">
              <w:t>10</w:t>
            </w:r>
          </w:p>
        </w:tc>
        <w:tc>
          <w:tcPr>
            <w:tcW w:w="1250" w:type="pct"/>
            <w:vAlign w:val="center"/>
          </w:tcPr>
          <w:p w:rsidR="00092A1B" w:rsidRPr="00174B5A" w:rsidRDefault="00092A1B" w:rsidP="00EA212D">
            <w:pPr>
              <w:pStyle w:val="tablecell"/>
            </w:pPr>
            <w:r w:rsidRPr="00174B5A">
              <w:t>143</w:t>
            </w:r>
            <w:r w:rsidR="00B34606" w:rsidRPr="00174B5A">
              <w:t>.42 ± 9.</w:t>
            </w:r>
            <w:r w:rsidRPr="00174B5A">
              <w:t>97</w:t>
            </w:r>
          </w:p>
        </w:tc>
      </w:tr>
      <w:tr w:rsidR="00092A1B" w:rsidRPr="00174B5A" w:rsidTr="004B5D3F">
        <w:trPr>
          <w:trHeight w:val="343"/>
        </w:trPr>
        <w:tc>
          <w:tcPr>
            <w:tcW w:w="1250" w:type="pct"/>
            <w:shd w:val="clear" w:color="auto" w:fill="FFFFFF"/>
            <w:vAlign w:val="center"/>
          </w:tcPr>
          <w:p w:rsidR="00092A1B" w:rsidRPr="00174B5A" w:rsidRDefault="009B33D5" w:rsidP="00EA212D">
            <w:pPr>
              <w:pStyle w:val="tablehead"/>
            </w:pPr>
            <w:r w:rsidRPr="00174B5A">
              <w:t>night_average_RRsys</w:t>
            </w:r>
            <w:r w:rsidR="00092A1B" w:rsidRPr="00174B5A">
              <w:t xml:space="preserve"> [mmHg]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118.</w:t>
            </w:r>
            <w:r w:rsidR="00092A1B" w:rsidRPr="00174B5A">
              <w:t>67 ± 5</w:t>
            </w:r>
            <w:r w:rsidRPr="00174B5A">
              <w:t>.</w:t>
            </w:r>
            <w:r w:rsidR="00092A1B" w:rsidRPr="00174B5A">
              <w:t>67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116.</w:t>
            </w:r>
            <w:r w:rsidR="00092A1B" w:rsidRPr="00174B5A">
              <w:t>09 ± 6</w:t>
            </w:r>
            <w:r w:rsidRPr="00174B5A">
              <w:t>.</w:t>
            </w:r>
            <w:r w:rsidR="00092A1B" w:rsidRPr="00174B5A">
              <w:t>73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117.</w:t>
            </w:r>
            <w:r w:rsidR="00092A1B" w:rsidRPr="00174B5A">
              <w:t>50 ± 5</w:t>
            </w:r>
            <w:r w:rsidRPr="00174B5A">
              <w:t>.</w:t>
            </w:r>
            <w:r w:rsidR="00092A1B" w:rsidRPr="00174B5A">
              <w:t>67</w:t>
            </w:r>
          </w:p>
        </w:tc>
      </w:tr>
      <w:tr w:rsidR="00092A1B" w:rsidRPr="00174B5A" w:rsidTr="004B5D3F">
        <w:trPr>
          <w:trHeight w:val="343"/>
        </w:trPr>
        <w:tc>
          <w:tcPr>
            <w:tcW w:w="1250" w:type="pct"/>
            <w:shd w:val="clear" w:color="auto" w:fill="FFFFFF"/>
            <w:vAlign w:val="center"/>
          </w:tcPr>
          <w:p w:rsidR="00092A1B" w:rsidRPr="00174B5A" w:rsidRDefault="009B33D5" w:rsidP="00EA212D">
            <w:pPr>
              <w:pStyle w:val="tablehead"/>
            </w:pPr>
            <w:r w:rsidRPr="00174B5A">
              <w:t>daily average_RRdia</w:t>
            </w:r>
            <w:r w:rsidR="00092A1B" w:rsidRPr="00174B5A">
              <w:t xml:space="preserve"> [mmHg]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77.</w:t>
            </w:r>
            <w:r w:rsidR="00092A1B" w:rsidRPr="00174B5A">
              <w:t>9</w:t>
            </w:r>
            <w:r w:rsidRPr="00174B5A">
              <w:t>0 ± 4.</w:t>
            </w:r>
            <w:r w:rsidR="00092A1B" w:rsidRPr="00174B5A">
              <w:t>21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79.23 ± 7.</w:t>
            </w:r>
            <w:r w:rsidR="00092A1B" w:rsidRPr="00174B5A">
              <w:t>53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78.95 ± 7.</w:t>
            </w:r>
            <w:r w:rsidR="00092A1B" w:rsidRPr="00174B5A">
              <w:t>15</w:t>
            </w:r>
          </w:p>
        </w:tc>
      </w:tr>
      <w:tr w:rsidR="00092A1B" w:rsidRPr="00174B5A" w:rsidTr="004B5D3F">
        <w:trPr>
          <w:trHeight w:val="343"/>
        </w:trPr>
        <w:tc>
          <w:tcPr>
            <w:tcW w:w="1250" w:type="pct"/>
            <w:shd w:val="clear" w:color="auto" w:fill="FFFFFF"/>
            <w:vAlign w:val="center"/>
          </w:tcPr>
          <w:p w:rsidR="00092A1B" w:rsidRPr="00174B5A" w:rsidRDefault="009B33D5" w:rsidP="00EA212D">
            <w:pPr>
              <w:pStyle w:val="tablehead"/>
            </w:pPr>
            <w:r w:rsidRPr="00174B5A">
              <w:t>night_average_</w:t>
            </w:r>
            <w:r w:rsidR="00092A1B" w:rsidRPr="00174B5A">
              <w:t>RRdi</w:t>
            </w:r>
            <w:r w:rsidRPr="00174B5A">
              <w:t>a</w:t>
            </w:r>
            <w:r w:rsidR="00092A1B" w:rsidRPr="00174B5A">
              <w:t xml:space="preserve"> [mmHg]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62.63 ± 4.</w:t>
            </w:r>
            <w:r w:rsidR="00092A1B" w:rsidRPr="00174B5A">
              <w:t>57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62.54 ± 5.</w:t>
            </w:r>
            <w:r w:rsidR="00092A1B" w:rsidRPr="00174B5A">
              <w:t>08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63.34 ± 5.</w:t>
            </w:r>
            <w:r w:rsidR="00092A1B" w:rsidRPr="00174B5A">
              <w:t>61</w:t>
            </w:r>
          </w:p>
        </w:tc>
      </w:tr>
      <w:tr w:rsidR="00092A1B" w:rsidRPr="00174B5A" w:rsidTr="004B5D3F">
        <w:trPr>
          <w:trHeight w:val="343"/>
        </w:trPr>
        <w:tc>
          <w:tcPr>
            <w:tcW w:w="1250" w:type="pct"/>
            <w:shd w:val="clear" w:color="auto" w:fill="FFFFFF"/>
            <w:vAlign w:val="center"/>
          </w:tcPr>
          <w:p w:rsidR="00092A1B" w:rsidRPr="00174B5A" w:rsidRDefault="009B33D5" w:rsidP="00EA212D">
            <w:pPr>
              <w:pStyle w:val="tablehead"/>
            </w:pPr>
            <w:r w:rsidRPr="00174B5A">
              <w:t>daily_average_</w:t>
            </w:r>
            <w:r w:rsidR="00DD4B3A" w:rsidRPr="00174B5A">
              <w:t>HR</w:t>
            </w:r>
            <w:r w:rsidR="00092A1B" w:rsidRPr="00174B5A">
              <w:t xml:space="preserve"> [min-1]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71.63 ± 6.</w:t>
            </w:r>
            <w:r w:rsidR="00092A1B" w:rsidRPr="00174B5A">
              <w:t>37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72.71 ± 8.</w:t>
            </w:r>
            <w:r w:rsidR="00092A1B" w:rsidRPr="00174B5A">
              <w:t>59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69.53 ± 4.</w:t>
            </w:r>
            <w:r w:rsidR="00092A1B" w:rsidRPr="00174B5A">
              <w:t>05</w:t>
            </w:r>
          </w:p>
        </w:tc>
      </w:tr>
      <w:tr w:rsidR="00092A1B" w:rsidRPr="00174B5A" w:rsidTr="004B5D3F">
        <w:trPr>
          <w:trHeight w:val="343"/>
        </w:trPr>
        <w:tc>
          <w:tcPr>
            <w:tcW w:w="1250" w:type="pct"/>
            <w:shd w:val="clear" w:color="auto" w:fill="FFFFFF"/>
            <w:vAlign w:val="center"/>
          </w:tcPr>
          <w:p w:rsidR="00092A1B" w:rsidRPr="00174B5A" w:rsidRDefault="009B33D5" w:rsidP="00EA212D">
            <w:pPr>
              <w:pStyle w:val="tablehead"/>
            </w:pPr>
            <w:r w:rsidRPr="00174B5A">
              <w:t>night_average_</w:t>
            </w:r>
            <w:r w:rsidR="00DD4B3A" w:rsidRPr="00174B5A">
              <w:t>HR</w:t>
            </w:r>
            <w:r w:rsidR="00092A1B" w:rsidRPr="00174B5A">
              <w:t xml:space="preserve"> [min-1]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52.59 ± 6.</w:t>
            </w:r>
            <w:r w:rsidR="00092A1B" w:rsidRPr="00174B5A">
              <w:t>37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51.46 ± 6.</w:t>
            </w:r>
            <w:r w:rsidR="00092A1B" w:rsidRPr="00174B5A">
              <w:t>71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51.26 ± 9.</w:t>
            </w:r>
            <w:r w:rsidR="00092A1B" w:rsidRPr="00174B5A">
              <w:t>06</w:t>
            </w:r>
          </w:p>
        </w:tc>
      </w:tr>
      <w:tr w:rsidR="00092A1B" w:rsidRPr="00174B5A" w:rsidTr="004B5D3F">
        <w:trPr>
          <w:trHeight w:val="343"/>
        </w:trPr>
        <w:tc>
          <w:tcPr>
            <w:tcW w:w="1250" w:type="pct"/>
            <w:shd w:val="clear" w:color="auto" w:fill="FFFFFF"/>
            <w:vAlign w:val="center"/>
          </w:tcPr>
          <w:p w:rsidR="00092A1B" w:rsidRPr="00174B5A" w:rsidRDefault="009B33D5" w:rsidP="00EA212D">
            <w:pPr>
              <w:pStyle w:val="tablehead"/>
            </w:pPr>
            <w:r w:rsidRPr="00174B5A">
              <w:t>daily_average_</w:t>
            </w:r>
            <w:r w:rsidR="00DD4B3A" w:rsidRPr="00174B5A">
              <w:t>MAP</w:t>
            </w:r>
            <w:r w:rsidR="00092A1B" w:rsidRPr="00174B5A">
              <w:t xml:space="preserve"> [mmHg]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99.89 ± 3.</w:t>
            </w:r>
            <w:r w:rsidR="00092A1B" w:rsidRPr="00174B5A">
              <w:t>63</w:t>
            </w:r>
          </w:p>
        </w:tc>
        <w:tc>
          <w:tcPr>
            <w:tcW w:w="1250" w:type="pct"/>
            <w:vAlign w:val="center"/>
          </w:tcPr>
          <w:p w:rsidR="00092A1B" w:rsidRPr="00174B5A" w:rsidRDefault="00092A1B" w:rsidP="00EA212D">
            <w:pPr>
              <w:pStyle w:val="tablecell"/>
            </w:pPr>
            <w:r w:rsidRPr="00174B5A">
              <w:t>100</w:t>
            </w:r>
            <w:r w:rsidR="00B34606" w:rsidRPr="00174B5A">
              <w:t>.</w:t>
            </w:r>
            <w:r w:rsidRPr="00174B5A">
              <w:t>90 ± 7</w:t>
            </w:r>
            <w:r w:rsidR="00B34606" w:rsidRPr="00174B5A">
              <w:t>.</w:t>
            </w:r>
            <w:r w:rsidRPr="00174B5A">
              <w:t>49</w:t>
            </w:r>
          </w:p>
        </w:tc>
        <w:tc>
          <w:tcPr>
            <w:tcW w:w="1250" w:type="pct"/>
            <w:vAlign w:val="center"/>
          </w:tcPr>
          <w:p w:rsidR="00092A1B" w:rsidRPr="00174B5A" w:rsidRDefault="00092A1B" w:rsidP="00EA212D">
            <w:pPr>
              <w:pStyle w:val="tablecell"/>
            </w:pPr>
            <w:r w:rsidRPr="00174B5A">
              <w:t>100</w:t>
            </w:r>
            <w:r w:rsidR="00B34606" w:rsidRPr="00174B5A">
              <w:t>.</w:t>
            </w:r>
            <w:r w:rsidRPr="00174B5A">
              <w:t>44 ± 7</w:t>
            </w:r>
            <w:r w:rsidR="00B34606" w:rsidRPr="00174B5A">
              <w:t>.</w:t>
            </w:r>
            <w:r w:rsidRPr="00174B5A">
              <w:t>80</w:t>
            </w:r>
          </w:p>
        </w:tc>
      </w:tr>
      <w:tr w:rsidR="00092A1B" w:rsidRPr="00174B5A" w:rsidTr="004B5D3F">
        <w:trPr>
          <w:trHeight w:val="343"/>
        </w:trPr>
        <w:tc>
          <w:tcPr>
            <w:tcW w:w="1250" w:type="pct"/>
            <w:shd w:val="clear" w:color="auto" w:fill="FFFFFF"/>
            <w:vAlign w:val="center"/>
          </w:tcPr>
          <w:p w:rsidR="00092A1B" w:rsidRPr="00174B5A" w:rsidRDefault="009B33D5" w:rsidP="00EA212D">
            <w:pPr>
              <w:pStyle w:val="tablehead"/>
            </w:pPr>
            <w:r w:rsidRPr="00174B5A">
              <w:t>night_average_MAP</w:t>
            </w:r>
            <w:r w:rsidR="00092A1B" w:rsidRPr="00174B5A">
              <w:t xml:space="preserve"> [mmHg]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81.</w:t>
            </w:r>
            <w:r w:rsidR="00092A1B" w:rsidRPr="00174B5A">
              <w:t>31 ± 4</w:t>
            </w:r>
            <w:r w:rsidRPr="00174B5A">
              <w:t>.</w:t>
            </w:r>
            <w:r w:rsidR="00092A1B" w:rsidRPr="00174B5A">
              <w:t>40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80.</w:t>
            </w:r>
            <w:r w:rsidR="00092A1B" w:rsidRPr="00174B5A">
              <w:t>39 ± 5</w:t>
            </w:r>
            <w:r w:rsidRPr="00174B5A">
              <w:t>.</w:t>
            </w:r>
            <w:r w:rsidR="00092A1B" w:rsidRPr="00174B5A">
              <w:t>41</w:t>
            </w:r>
          </w:p>
        </w:tc>
        <w:tc>
          <w:tcPr>
            <w:tcW w:w="1250" w:type="pct"/>
            <w:vAlign w:val="center"/>
          </w:tcPr>
          <w:p w:rsidR="00092A1B" w:rsidRPr="00174B5A" w:rsidRDefault="00B34606" w:rsidP="00EA212D">
            <w:pPr>
              <w:pStyle w:val="tablecell"/>
            </w:pPr>
            <w:r w:rsidRPr="00174B5A">
              <w:t>81.</w:t>
            </w:r>
            <w:r w:rsidR="00092A1B" w:rsidRPr="00174B5A">
              <w:t>39 ± 5</w:t>
            </w:r>
            <w:r w:rsidRPr="00174B5A">
              <w:t>.</w:t>
            </w:r>
            <w:r w:rsidR="00092A1B" w:rsidRPr="00174B5A">
              <w:t>08</w:t>
            </w:r>
          </w:p>
        </w:tc>
      </w:tr>
    </w:tbl>
    <w:p w:rsidR="00B81F1C" w:rsidRPr="00174B5A" w:rsidRDefault="000C35FB" w:rsidP="00EA212D">
      <w:pPr>
        <w:spacing w:before="240"/>
      </w:pPr>
      <w:r w:rsidRPr="00174B5A">
        <w:t xml:space="preserve">The </w:t>
      </w:r>
      <w:r w:rsidR="00B81F1C" w:rsidRPr="00174B5A">
        <w:t>course</w:t>
      </w:r>
      <w:r w:rsidRPr="00174B5A">
        <w:t xml:space="preserve"> of the blood pressure parameters and the heart rate of the control group are </w:t>
      </w:r>
      <w:r w:rsidR="00B81F1C" w:rsidRPr="00174B5A">
        <w:t>shown</w:t>
      </w:r>
      <w:r w:rsidR="009B33D5" w:rsidRPr="00174B5A">
        <w:t xml:space="preserve"> in t</w:t>
      </w:r>
      <w:r w:rsidRPr="00174B5A">
        <w:t xml:space="preserve">able 3. It can be </w:t>
      </w:r>
      <w:r w:rsidR="00B81F1C" w:rsidRPr="00174B5A">
        <w:t>noted</w:t>
      </w:r>
      <w:r w:rsidRPr="00174B5A">
        <w:t xml:space="preserve"> that all measured variables </w:t>
      </w:r>
      <w:r w:rsidR="00B81F1C" w:rsidRPr="00174B5A">
        <w:t>move</w:t>
      </w:r>
      <w:r w:rsidRPr="00174B5A">
        <w:t xml:space="preserve"> on a constant level during the documented period. The analysis of the </w:t>
      </w:r>
      <w:r w:rsidR="00B81F1C" w:rsidRPr="00174B5A">
        <w:lastRenderedPageBreak/>
        <w:t>average values</w:t>
      </w:r>
      <w:r w:rsidRPr="00174B5A">
        <w:t xml:space="preserve"> </w:t>
      </w:r>
      <w:r w:rsidR="00860B1A" w:rsidRPr="00174B5A">
        <w:t>with regard to</w:t>
      </w:r>
      <w:r w:rsidRPr="00174B5A">
        <w:t xml:space="preserve"> their central tendency (</w:t>
      </w:r>
      <w:r w:rsidR="00B81F1C" w:rsidRPr="00174B5A">
        <w:t>Friedman t</w:t>
      </w:r>
      <w:r w:rsidR="00C02B41" w:rsidRPr="00174B5A">
        <w:t xml:space="preserve">est) </w:t>
      </w:r>
      <w:r w:rsidR="00B251B7" w:rsidRPr="00174B5A">
        <w:t>revealed</w:t>
      </w:r>
      <w:r w:rsidR="00B81F1C" w:rsidRPr="00174B5A">
        <w:t xml:space="preserve"> no significant change.</w:t>
      </w:r>
    </w:p>
    <w:p w:rsidR="00092A1B" w:rsidRPr="00174B5A" w:rsidRDefault="00B251B7" w:rsidP="00EA212D">
      <w:pPr>
        <w:pStyle w:val="Headline-3"/>
      </w:pPr>
      <w:r w:rsidRPr="00174B5A">
        <w:t>Group comparison</w:t>
      </w:r>
    </w:p>
    <w:p w:rsidR="00A65B07" w:rsidRPr="00174B5A" w:rsidRDefault="000C35FB" w:rsidP="00EA212D">
      <w:r w:rsidRPr="00174B5A">
        <w:t xml:space="preserve">It can be </w:t>
      </w:r>
      <w:r w:rsidR="00860B1A" w:rsidRPr="00174B5A">
        <w:t>noted</w:t>
      </w:r>
      <w:r w:rsidR="00C93531" w:rsidRPr="00174B5A">
        <w:t xml:space="preserve"> that statistically</w:t>
      </w:r>
      <w:r w:rsidR="00DD4930" w:rsidRPr="00174B5A">
        <w:t xml:space="preserve">, </w:t>
      </w:r>
      <w:r w:rsidRPr="00174B5A">
        <w:t xml:space="preserve">there is no significant difference between the blood pressure parameters and the heart rate of both groups at the time of the </w:t>
      </w:r>
      <w:r w:rsidR="003B05CE" w:rsidRPr="00174B5A">
        <w:t>first measurement</w:t>
      </w:r>
      <w:r w:rsidRPr="00174B5A">
        <w:t xml:space="preserve"> (initial measurement) </w:t>
      </w:r>
      <w:r w:rsidR="003B05CE" w:rsidRPr="00174B5A">
        <w:t>and third measurement (</w:t>
      </w:r>
      <w:r w:rsidRPr="00174B5A">
        <w:t xml:space="preserve">three months after </w:t>
      </w:r>
      <w:r w:rsidR="00860B1A" w:rsidRPr="00174B5A">
        <w:t xml:space="preserve">the </w:t>
      </w:r>
      <w:r w:rsidRPr="00174B5A">
        <w:t>end of therapy or</w:t>
      </w:r>
      <w:r w:rsidR="00860B1A" w:rsidRPr="00174B5A">
        <w:t xml:space="preserve"> even</w:t>
      </w:r>
      <w:r w:rsidRPr="00174B5A">
        <w:t xml:space="preserve"> six or nine month</w:t>
      </w:r>
      <w:r w:rsidR="00DD4930" w:rsidRPr="00174B5A">
        <w:t>s</w:t>
      </w:r>
      <w:r w:rsidRPr="00174B5A">
        <w:t xml:space="preserve"> after </w:t>
      </w:r>
      <w:r w:rsidR="00860B1A" w:rsidRPr="00174B5A">
        <w:t xml:space="preserve">the </w:t>
      </w:r>
      <w:r w:rsidRPr="00174B5A">
        <w:t>init</w:t>
      </w:r>
      <w:r w:rsidR="00E52EE2" w:rsidRPr="00174B5A">
        <w:t>i</w:t>
      </w:r>
      <w:r w:rsidR="00DD4930" w:rsidRPr="00174B5A">
        <w:t>al measurement</w:t>
      </w:r>
      <w:r w:rsidR="003B05CE" w:rsidRPr="00174B5A">
        <w:t>)</w:t>
      </w:r>
      <w:r w:rsidRPr="00174B5A">
        <w:t xml:space="preserve">. As opposed to this, the </w:t>
      </w:r>
      <w:r w:rsidR="00860B1A" w:rsidRPr="00174B5A">
        <w:t>average</w:t>
      </w:r>
      <w:r w:rsidRPr="00174B5A">
        <w:t xml:space="preserve"> and daily </w:t>
      </w:r>
      <w:r w:rsidR="00860B1A" w:rsidRPr="00174B5A">
        <w:t>average</w:t>
      </w:r>
      <w:r w:rsidRPr="00174B5A">
        <w:t xml:space="preserve"> </w:t>
      </w:r>
      <w:r w:rsidR="003B05CE" w:rsidRPr="00174B5A">
        <w:t xml:space="preserve">values </w:t>
      </w:r>
      <w:r w:rsidRPr="00174B5A">
        <w:t xml:space="preserve">of the systolic and diastolic blood pressure, the </w:t>
      </w:r>
      <w:r w:rsidR="00860B1A" w:rsidRPr="00174B5A">
        <w:t xml:space="preserve">mean </w:t>
      </w:r>
      <w:r w:rsidRPr="00174B5A">
        <w:t>arterial pressure</w:t>
      </w:r>
      <w:r w:rsidR="00E52EE2" w:rsidRPr="00174B5A">
        <w:t xml:space="preserve"> and the heart rate of the inter</w:t>
      </w:r>
      <w:r w:rsidRPr="00174B5A">
        <w:t>ve</w:t>
      </w:r>
      <w:r w:rsidR="00E52EE2" w:rsidRPr="00174B5A">
        <w:t>n</w:t>
      </w:r>
      <w:r w:rsidRPr="00174B5A">
        <w:t>tion group, which were determined with the</w:t>
      </w:r>
      <w:r w:rsidR="00860B1A" w:rsidRPr="00174B5A">
        <w:t xml:space="preserve"> help of the long-</w:t>
      </w:r>
      <w:r w:rsidRPr="00174B5A">
        <w:t xml:space="preserve">term blood pressure </w:t>
      </w:r>
      <w:r w:rsidR="00DD4930" w:rsidRPr="00174B5A">
        <w:t>monitoring</w:t>
      </w:r>
      <w:r w:rsidRPr="00174B5A">
        <w:t>, can be significantly isolated from the control group</w:t>
      </w:r>
      <w:r w:rsidR="00E52EE2" w:rsidRPr="00174B5A">
        <w:t xml:space="preserve"> by the</w:t>
      </w:r>
      <w:r w:rsidR="0032664F" w:rsidRPr="00174B5A">
        <w:t xml:space="preserve"> lowering of the values</w:t>
      </w:r>
      <w:r w:rsidR="00E52EE2" w:rsidRPr="00174B5A">
        <w:t xml:space="preserve"> at t</w:t>
      </w:r>
      <w:r w:rsidR="00860B1A" w:rsidRPr="00174B5A">
        <w:t>h</w:t>
      </w:r>
      <w:r w:rsidR="00E52EE2" w:rsidRPr="00174B5A">
        <w:t>e time of medication</w:t>
      </w:r>
      <w:r w:rsidR="003B05CE" w:rsidRPr="00174B5A">
        <w:t xml:space="preserve"> intake</w:t>
      </w:r>
      <w:r w:rsidR="00E52EE2" w:rsidRPr="00174B5A">
        <w:t>.</w:t>
      </w:r>
    </w:p>
    <w:p w:rsidR="008E5F5C" w:rsidRPr="00174B5A" w:rsidRDefault="002A5D42" w:rsidP="006B3CD0">
      <w:pPr>
        <w:pStyle w:val="figure"/>
      </w:pPr>
      <w:r w:rsidRPr="00FE7D70">
        <w:rPr>
          <w:noProof/>
          <w:lang w:val="en-US" w:eastAsia="en-US"/>
        </w:rPr>
        <w:lastRenderedPageBreak/>
        <w:drawing>
          <wp:inline distT="0" distB="0" distL="0" distR="0">
            <wp:extent cx="2654935" cy="14116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gramm1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D42" w:rsidRDefault="0032664F" w:rsidP="002A5D42">
      <w:pPr>
        <w:pStyle w:val="figuretitle"/>
      </w:pPr>
      <w:r w:rsidRPr="00174B5A">
        <w:t>Fig.</w:t>
      </w:r>
      <w:r w:rsidR="006E575F" w:rsidRPr="00174B5A">
        <w:t xml:space="preserve"> </w:t>
      </w:r>
      <w:r w:rsidR="009F38EB">
        <w:t>1</w:t>
      </w:r>
      <w:r w:rsidR="004B5D3F" w:rsidRPr="00174B5A">
        <w:t>:</w:t>
      </w:r>
      <w:r w:rsidR="006E575F" w:rsidRPr="00174B5A">
        <w:t xml:space="preserve"> </w:t>
      </w:r>
      <w:r w:rsidRPr="00174B5A">
        <w:t>Course</w:t>
      </w:r>
      <w:r w:rsidR="00E52EE2" w:rsidRPr="00174B5A">
        <w:t xml:space="preserve"> of the systolic blood pressure of both groups </w:t>
      </w:r>
      <w:r w:rsidR="008E4873" w:rsidRPr="00174B5A">
        <w:t>in</w:t>
      </w:r>
      <w:r w:rsidR="00E52EE2" w:rsidRPr="00174B5A">
        <w:t xml:space="preserve"> the </w:t>
      </w:r>
      <w:r w:rsidRPr="00174B5A">
        <w:t>sample</w:t>
      </w:r>
      <w:r w:rsidR="00E52EE2" w:rsidRPr="00174B5A">
        <w:t xml:space="preserve"> period</w:t>
      </w:r>
    </w:p>
    <w:p w:rsidR="00BF1A8E" w:rsidRPr="00174B5A" w:rsidRDefault="002A5D42" w:rsidP="006B3CD0">
      <w:pPr>
        <w:pStyle w:val="figure"/>
      </w:pPr>
      <w:r w:rsidRPr="00FE7D70">
        <w:rPr>
          <w:noProof/>
          <w:lang w:val="en-US" w:eastAsia="en-US"/>
        </w:rPr>
        <w:drawing>
          <wp:inline distT="0" distB="0" distL="0" distR="0">
            <wp:extent cx="2654935" cy="1496695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gramm2.t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143" w:rsidRPr="002A5D42" w:rsidRDefault="0032664F" w:rsidP="002A5D42">
      <w:pPr>
        <w:pStyle w:val="figuretitle"/>
        <w:rPr>
          <w:highlight w:val="yellow"/>
        </w:rPr>
        <w:sectPr w:rsidR="00930143" w:rsidRPr="002A5D42">
          <w:footnotePr>
            <w:pos w:val="beneathText"/>
          </w:footnotePr>
          <w:type w:val="continuous"/>
          <w:pgSz w:w="11905" w:h="16837"/>
          <w:pgMar w:top="1417" w:right="1417" w:bottom="1134" w:left="1417" w:header="708" w:footer="720" w:gutter="0"/>
          <w:cols w:num="2" w:space="709"/>
          <w:docGrid w:linePitch="360"/>
        </w:sectPr>
      </w:pPr>
      <w:r w:rsidRPr="00174B5A">
        <w:t>Fig. 2</w:t>
      </w:r>
      <w:r w:rsidR="004B5D3F" w:rsidRPr="00174B5A">
        <w:t>:</w:t>
      </w:r>
      <w:r w:rsidR="006E575F" w:rsidRPr="00174B5A">
        <w:t xml:space="preserve"> </w:t>
      </w:r>
      <w:r w:rsidRPr="00174B5A">
        <w:t>Course</w:t>
      </w:r>
      <w:r w:rsidR="00E52EE2" w:rsidRPr="00174B5A">
        <w:t xml:space="preserve"> of the pulse pressure of both groups </w:t>
      </w:r>
      <w:r w:rsidR="008E4873" w:rsidRPr="00174B5A">
        <w:t>in</w:t>
      </w:r>
      <w:r w:rsidR="00E52EE2" w:rsidRPr="00174B5A">
        <w:t xml:space="preserve"> the </w:t>
      </w:r>
      <w:r w:rsidRPr="00174B5A">
        <w:t>sample</w:t>
      </w:r>
      <w:r w:rsidR="00E52EE2" w:rsidRPr="00174B5A">
        <w:t xml:space="preserve"> period</w:t>
      </w:r>
    </w:p>
    <w:p w:rsidR="00E426C9" w:rsidRPr="00174B5A" w:rsidRDefault="00211F20" w:rsidP="00EA212D">
      <w:pPr>
        <w:pStyle w:val="Headline-2"/>
        <w:sectPr w:rsidR="00E426C9" w:rsidRPr="00174B5A">
          <w:footnotePr>
            <w:pos w:val="beneathText"/>
          </w:footnotePr>
          <w:type w:val="continuous"/>
          <w:pgSz w:w="11905" w:h="16837"/>
          <w:pgMar w:top="1417" w:right="1417" w:bottom="1134" w:left="1417" w:header="708" w:footer="720" w:gutter="0"/>
          <w:cols w:num="2" w:space="709"/>
          <w:docGrid w:linePitch="360"/>
        </w:sectPr>
      </w:pPr>
      <w:r w:rsidRPr="00174B5A">
        <w:lastRenderedPageBreak/>
        <w:t>Disc</w:t>
      </w:r>
      <w:r w:rsidR="00E426C9" w:rsidRPr="00174B5A">
        <w:t>ussion</w:t>
      </w:r>
    </w:p>
    <w:p w:rsidR="009D7BEB" w:rsidRPr="00174B5A" w:rsidRDefault="00E52EE2" w:rsidP="009D7BEB">
      <w:r w:rsidRPr="00174B5A">
        <w:lastRenderedPageBreak/>
        <w:t xml:space="preserve">The results </w:t>
      </w:r>
      <w:r w:rsidR="0032664F" w:rsidRPr="00174B5A">
        <w:t>revealed</w:t>
      </w:r>
      <w:r w:rsidRPr="00174B5A">
        <w:t xml:space="preserve"> that the therapy group benefits from the intervention because </w:t>
      </w:r>
      <w:r w:rsidR="0032664F" w:rsidRPr="00174B5A">
        <w:t>by comparison</w:t>
      </w:r>
      <w:r w:rsidR="00DD4930" w:rsidRPr="00174B5A">
        <w:t>,</w:t>
      </w:r>
      <w:r w:rsidRPr="00174B5A">
        <w:t xml:space="preserve"> there </w:t>
      </w:r>
      <w:r w:rsidR="0032664F" w:rsidRPr="00174B5A">
        <w:t>could</w:t>
      </w:r>
      <w:r w:rsidRPr="00174B5A">
        <w:t xml:space="preserve"> no si</w:t>
      </w:r>
      <w:r w:rsidR="0032664F" w:rsidRPr="00174B5A">
        <w:t>gnificant or tendential changes o</w:t>
      </w:r>
      <w:r w:rsidRPr="00174B5A">
        <w:t xml:space="preserve">f the parameters </w:t>
      </w:r>
      <w:r w:rsidR="0032664F" w:rsidRPr="00174B5A">
        <w:t>be documented in the un</w:t>
      </w:r>
      <w:r w:rsidRPr="00174B5A">
        <w:t xml:space="preserve">treated control group. </w:t>
      </w:r>
      <w:r w:rsidR="004D7623" w:rsidRPr="00174B5A">
        <w:t>So it can be assume</w:t>
      </w:r>
      <w:r w:rsidRPr="00174B5A">
        <w:t xml:space="preserve">d that the </w:t>
      </w:r>
      <w:r w:rsidR="00A674E0" w:rsidRPr="00174B5A">
        <w:t>mediated</w:t>
      </w:r>
      <w:r w:rsidRPr="00174B5A">
        <w:t xml:space="preserve"> blood pressure reduction during the time of </w:t>
      </w:r>
      <w:r w:rsidR="00A674E0" w:rsidRPr="00174B5A">
        <w:t>the intake of medication</w:t>
      </w:r>
      <w:r w:rsidRPr="00174B5A">
        <w:t xml:space="preserve"> </w:t>
      </w:r>
      <w:r w:rsidR="00A674E0" w:rsidRPr="00174B5A">
        <w:t>enables the organism, but especially the short- and middle-term blood pressure regulation mechanisms, to sensitiz</w:t>
      </w:r>
      <w:r w:rsidRPr="00174B5A">
        <w:t xml:space="preserve">ation and adaptation processes. On the basis of the </w:t>
      </w:r>
      <w:r w:rsidR="00DD4930" w:rsidRPr="00174B5A">
        <w:t>collected data</w:t>
      </w:r>
      <w:r w:rsidR="00A674E0" w:rsidRPr="00174B5A">
        <w:t xml:space="preserve"> however, it is not possible to make any statement about the</w:t>
      </w:r>
      <w:r w:rsidR="00D150C7" w:rsidRPr="00174B5A">
        <w:t xml:space="preserve"> </w:t>
      </w:r>
      <w:r w:rsidR="00A674E0" w:rsidRPr="00174B5A">
        <w:t xml:space="preserve">specific </w:t>
      </w:r>
      <w:r w:rsidR="00D150C7" w:rsidRPr="00174B5A">
        <w:t>structures and physiological processes responsible for t</w:t>
      </w:r>
      <w:r w:rsidR="00A674E0" w:rsidRPr="00174B5A">
        <w:t>he lowering.</w:t>
      </w:r>
    </w:p>
    <w:p w:rsidR="009D7BEB" w:rsidRPr="00174B5A" w:rsidRDefault="00D150C7" w:rsidP="0038018D">
      <w:r w:rsidRPr="00174B5A">
        <w:t xml:space="preserve">The comparison with other therapy studies is difficult because most examinations </w:t>
      </w:r>
      <w:r w:rsidR="00A97CD8" w:rsidRPr="00174B5A">
        <w:t xml:space="preserve">in </w:t>
      </w:r>
      <w:r w:rsidRPr="00174B5A">
        <w:t>hypertension</w:t>
      </w:r>
      <w:r w:rsidR="00A97CD8" w:rsidRPr="00174B5A">
        <w:t xml:space="preserve"> research</w:t>
      </w:r>
      <w:r w:rsidRPr="00174B5A">
        <w:t xml:space="preserve"> are </w:t>
      </w:r>
      <w:r w:rsidR="00A97CD8" w:rsidRPr="00174B5A">
        <w:t>linked</w:t>
      </w:r>
      <w:r w:rsidRPr="00174B5A">
        <w:t xml:space="preserve"> to endpoints (c</w:t>
      </w:r>
      <w:r w:rsidR="00A97CD8" w:rsidRPr="00174B5A">
        <w:t>ardiovascular events or death). High-</w:t>
      </w:r>
      <w:r w:rsidRPr="00174B5A">
        <w:t>risk patients are</w:t>
      </w:r>
      <w:r w:rsidR="00A97CD8" w:rsidRPr="00174B5A">
        <w:t xml:space="preserve"> frequently</w:t>
      </w:r>
      <w:r w:rsidRPr="00174B5A">
        <w:t xml:space="preserve"> chosen for those studies</w:t>
      </w:r>
      <w:r w:rsidR="00A97CD8" w:rsidRPr="00174B5A">
        <w:t xml:space="preserve"> to reinforce</w:t>
      </w:r>
      <w:r w:rsidRPr="00174B5A">
        <w:t xml:space="preserve"> the statistical significance. In contrast, young patients and patients with uncomplicated blood pressure or with a moderate cardiovascul</w:t>
      </w:r>
      <w:r w:rsidR="00A97CD8" w:rsidRPr="00174B5A">
        <w:t>ar risk are rarely</w:t>
      </w:r>
      <w:r w:rsidRPr="00174B5A">
        <w:t xml:space="preserve"> represented.</w:t>
      </w:r>
      <w:r w:rsidR="00A97CD8" w:rsidRPr="00174B5A">
        <w:t xml:space="preserve"> </w:t>
      </w:r>
      <w:r w:rsidR="00D05287" w:rsidRPr="00174B5A">
        <w:t>In a study from 1993, Materson et al. compare</w:t>
      </w:r>
      <w:r w:rsidR="00DB2978" w:rsidRPr="00174B5A">
        <w:t>d</w:t>
      </w:r>
      <w:r w:rsidR="00D05287" w:rsidRPr="00174B5A">
        <w:t xml:space="preserve"> the </w:t>
      </w:r>
      <w:r w:rsidR="00711B0A" w:rsidRPr="00174B5A">
        <w:t xml:space="preserve">effect of six antihypertensive medications with a placebo tested on </w:t>
      </w:r>
      <w:r w:rsidR="00D05287" w:rsidRPr="00174B5A">
        <w:t xml:space="preserve">men </w:t>
      </w:r>
      <w:r w:rsidR="005003D4" w:rsidRPr="00174B5A">
        <w:t>with diastolic blood pre</w:t>
      </w:r>
      <w:r w:rsidR="00711B0A" w:rsidRPr="00174B5A">
        <w:t>ssure values between 95 and 109 </w:t>
      </w:r>
      <w:r w:rsidR="005003D4" w:rsidRPr="00174B5A">
        <w:t>mmHg</w:t>
      </w:r>
      <w:r w:rsidR="0027464D" w:rsidRPr="00174B5A">
        <w:t xml:space="preserve"> </w:t>
      </w:r>
      <w:r w:rsidR="0027464D" w:rsidRPr="00172DC9">
        <w:rPr>
          <w:rStyle w:val="ref"/>
        </w:rPr>
        <w:t>[</w:t>
      </w:r>
      <w:r w:rsidR="00A645EE" w:rsidRPr="00172DC9">
        <w:rPr>
          <w:rStyle w:val="ref"/>
        </w:rPr>
        <w:t>13</w:t>
      </w:r>
      <w:r w:rsidR="0027464D" w:rsidRPr="00172DC9">
        <w:rPr>
          <w:rStyle w:val="ref"/>
        </w:rPr>
        <w:t>]</w:t>
      </w:r>
      <w:r w:rsidR="009D7BEB" w:rsidRPr="00174B5A">
        <w:t>.</w:t>
      </w:r>
      <w:r w:rsidR="00AF338E" w:rsidRPr="00174B5A">
        <w:t xml:space="preserve"> </w:t>
      </w:r>
      <w:r w:rsidR="00711B0A" w:rsidRPr="00174B5A">
        <w:t>With the beta-blocker Atenolol, reductions of</w:t>
      </w:r>
      <w:r w:rsidR="00AF338E" w:rsidRPr="00174B5A">
        <w:t xml:space="preserve"> 14 (±11) </w:t>
      </w:r>
      <w:r w:rsidR="009D7BEB" w:rsidRPr="00174B5A">
        <w:t xml:space="preserve">mmHg </w:t>
      </w:r>
      <w:r w:rsidR="00AF338E" w:rsidRPr="00174B5A">
        <w:t>systolic and</w:t>
      </w:r>
      <w:r w:rsidR="00711B0A" w:rsidRPr="00174B5A">
        <w:t xml:space="preserve"> 13 (±6) </w:t>
      </w:r>
      <w:r w:rsidR="009D7BEB" w:rsidRPr="00174B5A">
        <w:t xml:space="preserve">mmHg </w:t>
      </w:r>
      <w:r w:rsidR="00AF338E" w:rsidRPr="00174B5A">
        <w:t xml:space="preserve">diastolic </w:t>
      </w:r>
      <w:r w:rsidR="00711B0A" w:rsidRPr="00174B5A">
        <w:t>were determined in young white men. The result for the ACE-inhibitor Captopril amounted to a reduction of 11 (±9) </w:t>
      </w:r>
      <w:r w:rsidR="009D7BEB" w:rsidRPr="00174B5A">
        <w:t xml:space="preserve">mmHg </w:t>
      </w:r>
      <w:r w:rsidR="00AF338E" w:rsidRPr="00174B5A">
        <w:t>systolic and</w:t>
      </w:r>
      <w:r w:rsidR="00711B0A" w:rsidRPr="00174B5A">
        <w:t xml:space="preserve"> 10 (±7) </w:t>
      </w:r>
      <w:r w:rsidR="009D7BEB" w:rsidRPr="00174B5A">
        <w:t xml:space="preserve">mmHg </w:t>
      </w:r>
      <w:r w:rsidR="00AF338E" w:rsidRPr="00174B5A">
        <w:t>diastolic</w:t>
      </w:r>
      <w:r w:rsidR="009D7BEB" w:rsidRPr="00174B5A">
        <w:t>.</w:t>
      </w:r>
      <w:r w:rsidR="00AF338E" w:rsidRPr="00174B5A">
        <w:t xml:space="preserve"> The reduction of the systolic blood pressure values </w:t>
      </w:r>
      <w:r w:rsidR="00DD4930" w:rsidRPr="00174B5A">
        <w:t>influenced by the</w:t>
      </w:r>
      <w:r w:rsidR="00AF338E" w:rsidRPr="00174B5A">
        <w:t xml:space="preserve"> medication is comparable to the effect </w:t>
      </w:r>
      <w:r w:rsidR="00A836EC" w:rsidRPr="00174B5A">
        <w:t>achieved</w:t>
      </w:r>
      <w:r w:rsidR="00AF338E" w:rsidRPr="00174B5A">
        <w:t xml:space="preserve"> in this</w:t>
      </w:r>
      <w:r w:rsidR="00A836EC" w:rsidRPr="00174B5A">
        <w:t xml:space="preserve"> investigation</w:t>
      </w:r>
      <w:r w:rsidR="00AF338E" w:rsidRPr="00174B5A">
        <w:t xml:space="preserve"> </w:t>
      </w:r>
      <w:r w:rsidR="00A836EC" w:rsidRPr="00174B5A">
        <w:t>(11.1 ± 4.</w:t>
      </w:r>
      <w:r w:rsidR="009D7BEB" w:rsidRPr="00174B5A">
        <w:t>2</w:t>
      </w:r>
      <w:r w:rsidR="00A836EC" w:rsidRPr="00174B5A">
        <w:t> </w:t>
      </w:r>
      <w:r w:rsidR="009D7BEB" w:rsidRPr="00174B5A">
        <w:t>mmHg).</w:t>
      </w:r>
      <w:r w:rsidR="00AF338E" w:rsidRPr="00174B5A">
        <w:t xml:space="preserve"> The diastolic blood pressure</w:t>
      </w:r>
      <w:r w:rsidR="00A836EC" w:rsidRPr="00174B5A">
        <w:t xml:space="preserve"> (4.7 ± 5.</w:t>
      </w:r>
      <w:r w:rsidR="009D7BEB" w:rsidRPr="00174B5A">
        <w:t>3</w:t>
      </w:r>
      <w:r w:rsidR="00A836EC" w:rsidRPr="00174B5A">
        <w:t> </w:t>
      </w:r>
      <w:r w:rsidR="009D7BEB" w:rsidRPr="00174B5A">
        <w:t xml:space="preserve">mmHg) </w:t>
      </w:r>
      <w:r w:rsidR="00AF338E" w:rsidRPr="00174B5A">
        <w:t xml:space="preserve">however, </w:t>
      </w:r>
      <w:r w:rsidR="00A836EC" w:rsidRPr="00174B5A">
        <w:t>did</w:t>
      </w:r>
      <w:r w:rsidR="00AF338E" w:rsidRPr="00174B5A">
        <w:t xml:space="preserve"> not </w:t>
      </w:r>
      <w:r w:rsidR="00A836EC" w:rsidRPr="00174B5A">
        <w:t xml:space="preserve">drop </w:t>
      </w:r>
      <w:r w:rsidR="00DD4930" w:rsidRPr="00174B5A">
        <w:t>as</w:t>
      </w:r>
      <w:r w:rsidR="00AF338E" w:rsidRPr="00174B5A">
        <w:t xml:space="preserve"> </w:t>
      </w:r>
      <w:r w:rsidR="00A836EC" w:rsidRPr="00174B5A">
        <w:t>significantly</w:t>
      </w:r>
      <w:r w:rsidR="00AF338E" w:rsidRPr="00174B5A">
        <w:t xml:space="preserve"> as seen in </w:t>
      </w:r>
      <w:r w:rsidR="009D7BEB" w:rsidRPr="00174B5A">
        <w:t xml:space="preserve">Materson et al. </w:t>
      </w:r>
      <w:r w:rsidR="00A645EE" w:rsidRPr="00172DC9">
        <w:rPr>
          <w:rStyle w:val="ref"/>
        </w:rPr>
        <w:t>[13]</w:t>
      </w:r>
      <w:r w:rsidR="009D7BEB" w:rsidRPr="00174B5A">
        <w:t xml:space="preserve">. </w:t>
      </w:r>
      <w:r w:rsidR="00AF338E" w:rsidRPr="00174B5A">
        <w:t>Reasons for the observed differences could be the age of</w:t>
      </w:r>
      <w:r w:rsidR="00DD4930" w:rsidRPr="00174B5A">
        <w:t xml:space="preserve"> the</w:t>
      </w:r>
      <w:r w:rsidR="00AF338E" w:rsidRPr="00174B5A">
        <w:t xml:space="preserve"> patients </w:t>
      </w:r>
      <w:r w:rsidR="009D7BEB" w:rsidRPr="00174B5A">
        <w:t>(</w:t>
      </w:r>
      <w:r w:rsidR="00AF338E" w:rsidRPr="00174B5A">
        <w:t>Age</w:t>
      </w:r>
      <w:r w:rsidR="00A836EC" w:rsidRPr="00174B5A">
        <w:t xml:space="preserve"> 51</w:t>
      </w:r>
      <w:r w:rsidR="00DD4930" w:rsidRPr="00174B5A">
        <w:t> </w:t>
      </w:r>
      <w:r w:rsidR="00A836EC" w:rsidRPr="00174B5A">
        <w:t>±</w:t>
      </w:r>
      <w:r w:rsidR="00DD4930" w:rsidRPr="00174B5A">
        <w:t> </w:t>
      </w:r>
      <w:r w:rsidR="00A836EC" w:rsidRPr="00174B5A">
        <w:t>7 </w:t>
      </w:r>
      <w:r w:rsidR="00AF338E" w:rsidRPr="00174B5A">
        <w:t>years</w:t>
      </w:r>
      <w:r w:rsidR="009D7BEB" w:rsidRPr="00174B5A">
        <w:t xml:space="preserve">), </w:t>
      </w:r>
      <w:r w:rsidR="00AF338E" w:rsidRPr="00174B5A">
        <w:t xml:space="preserve">the clear differences of the blood pressure </w:t>
      </w:r>
      <w:r w:rsidR="00AF338E" w:rsidRPr="00174B5A">
        <w:lastRenderedPageBreak/>
        <w:t>base level</w:t>
      </w:r>
      <w:r w:rsidR="009D7BEB" w:rsidRPr="00174B5A">
        <w:t xml:space="preserve"> (149</w:t>
      </w:r>
      <w:r w:rsidR="00DD4930" w:rsidRPr="00174B5A">
        <w:t> </w:t>
      </w:r>
      <w:r w:rsidR="009D7BEB" w:rsidRPr="00174B5A">
        <w:t>±</w:t>
      </w:r>
      <w:r w:rsidR="00DD4930" w:rsidRPr="00174B5A">
        <w:t> </w:t>
      </w:r>
      <w:r w:rsidR="009D7BEB" w:rsidRPr="00174B5A">
        <w:t>13</w:t>
      </w:r>
      <w:r w:rsidR="00A836EC" w:rsidRPr="00174B5A">
        <w:t> </w:t>
      </w:r>
      <w:r w:rsidR="00A645EE" w:rsidRPr="00174B5A">
        <w:t xml:space="preserve">sys; </w:t>
      </w:r>
      <w:r w:rsidR="009D7BEB" w:rsidRPr="00174B5A">
        <w:t>99</w:t>
      </w:r>
      <w:r w:rsidR="00DD4930" w:rsidRPr="00174B5A">
        <w:t> </w:t>
      </w:r>
      <w:r w:rsidR="009D7BEB" w:rsidRPr="00174B5A">
        <w:t>±</w:t>
      </w:r>
      <w:r w:rsidR="00DD4930" w:rsidRPr="00174B5A">
        <w:t> </w:t>
      </w:r>
      <w:r w:rsidR="009D7BEB" w:rsidRPr="00174B5A">
        <w:t>3</w:t>
      </w:r>
      <w:r w:rsidR="00A836EC" w:rsidRPr="00174B5A">
        <w:t> </w:t>
      </w:r>
      <w:r w:rsidR="00A645EE" w:rsidRPr="00174B5A">
        <w:t>dia</w:t>
      </w:r>
      <w:r w:rsidR="009D7BEB" w:rsidRPr="00174B5A">
        <w:t xml:space="preserve">) </w:t>
      </w:r>
      <w:r w:rsidR="00AF338E" w:rsidRPr="00174B5A">
        <w:t>or</w:t>
      </w:r>
      <w:r w:rsidR="009D7BEB" w:rsidRPr="00174B5A">
        <w:t>/</w:t>
      </w:r>
      <w:r w:rsidR="00A836EC" w:rsidRPr="00174B5A">
        <w:t>and the dosage of the medication</w:t>
      </w:r>
      <w:r w:rsidR="00AF338E" w:rsidRPr="00174B5A">
        <w:t>.</w:t>
      </w:r>
      <w:r w:rsidR="009D7BEB" w:rsidRPr="00174B5A">
        <w:t xml:space="preserve"> Materson et al.</w:t>
      </w:r>
      <w:r w:rsidR="00A645EE" w:rsidRPr="00174B5A">
        <w:t xml:space="preserve"> </w:t>
      </w:r>
      <w:r w:rsidR="00A645EE" w:rsidRPr="00172DC9">
        <w:rPr>
          <w:rStyle w:val="ref"/>
        </w:rPr>
        <w:t>[13]</w:t>
      </w:r>
      <w:r w:rsidR="00A836EC" w:rsidRPr="00174B5A">
        <w:t xml:space="preserve"> indicate</w:t>
      </w:r>
      <w:r w:rsidR="00AF338E" w:rsidRPr="00174B5A">
        <w:t xml:space="preserve"> </w:t>
      </w:r>
      <w:r w:rsidR="00A836EC" w:rsidRPr="00174B5A">
        <w:t>the number of patients and the</w:t>
      </w:r>
      <w:r w:rsidR="00AF338E" w:rsidRPr="00174B5A">
        <w:t xml:space="preserve"> dosage</w:t>
      </w:r>
      <w:r w:rsidR="00A836EC" w:rsidRPr="00174B5A">
        <w:t xml:space="preserve"> they received</w:t>
      </w:r>
      <w:r w:rsidR="00AF338E" w:rsidRPr="00174B5A">
        <w:t xml:space="preserve">, but </w:t>
      </w:r>
      <w:r w:rsidR="00A836EC" w:rsidRPr="00174B5A">
        <w:t>those parameters are</w:t>
      </w:r>
      <w:r w:rsidR="00AF338E" w:rsidRPr="00174B5A">
        <w:t xml:space="preserve"> not included in the evaluation of t</w:t>
      </w:r>
      <w:r w:rsidR="00A836EC" w:rsidRPr="00174B5A">
        <w:t xml:space="preserve">he results </w:t>
      </w:r>
      <w:r w:rsidR="000D0348" w:rsidRPr="00174B5A">
        <w:t>with regard to</w:t>
      </w:r>
      <w:r w:rsidR="00AF338E" w:rsidRPr="00174B5A">
        <w:t xml:space="preserve"> the observable reduction of the blood pressure.</w:t>
      </w:r>
      <w:r w:rsidR="009D7BEB" w:rsidRPr="00174B5A">
        <w:t xml:space="preserve"> </w:t>
      </w:r>
      <w:r w:rsidR="00DD4930" w:rsidRPr="00174B5A">
        <w:t>A meta-</w:t>
      </w:r>
      <w:r w:rsidR="00AF338E" w:rsidRPr="00174B5A">
        <w:t xml:space="preserve">analysis of </w:t>
      </w:r>
      <w:r w:rsidR="009D7BEB" w:rsidRPr="00174B5A">
        <w:t xml:space="preserve">Law et al. </w:t>
      </w:r>
      <w:r w:rsidR="00AF338E" w:rsidRPr="00174B5A">
        <w:t xml:space="preserve">from 2003 compares the different </w:t>
      </w:r>
      <w:r w:rsidR="000D0348" w:rsidRPr="00174B5A">
        <w:t>impacts</w:t>
      </w:r>
      <w:r w:rsidR="00AF338E" w:rsidRPr="00174B5A">
        <w:t xml:space="preserve"> </w:t>
      </w:r>
      <w:r w:rsidR="000D0348" w:rsidRPr="00174B5A">
        <w:t xml:space="preserve">of normal and low dosage of the substance groups </w:t>
      </w:r>
      <w:r w:rsidR="00DD4930" w:rsidRPr="00174B5A">
        <w:t>on</w:t>
      </w:r>
      <w:r w:rsidR="000D0348" w:rsidRPr="00174B5A">
        <w:t xml:space="preserve"> the</w:t>
      </w:r>
      <w:r w:rsidR="00DD4930" w:rsidRPr="00174B5A">
        <w:t xml:space="preserve"> blood pressure </w:t>
      </w:r>
      <w:r w:rsidR="0027464D" w:rsidRPr="00172DC9">
        <w:rPr>
          <w:rStyle w:val="ref"/>
        </w:rPr>
        <w:t>[</w:t>
      </w:r>
      <w:r w:rsidR="00A645EE" w:rsidRPr="00172DC9">
        <w:rPr>
          <w:rStyle w:val="ref"/>
        </w:rPr>
        <w:t>8</w:t>
      </w:r>
      <w:r w:rsidR="0027464D" w:rsidRPr="00172DC9">
        <w:rPr>
          <w:rStyle w:val="ref"/>
        </w:rPr>
        <w:t>]</w:t>
      </w:r>
      <w:r w:rsidR="009D7BEB" w:rsidRPr="00174B5A">
        <w:t xml:space="preserve">. </w:t>
      </w:r>
      <w:r w:rsidR="0038018D" w:rsidRPr="00174B5A">
        <w:t>There were similar blood pressure reductions for</w:t>
      </w:r>
      <w:r w:rsidR="00AF338E" w:rsidRPr="00174B5A">
        <w:t xml:space="preserve"> all substance </w:t>
      </w:r>
      <w:r w:rsidR="0038018D" w:rsidRPr="00174B5A">
        <w:t>groups</w:t>
      </w:r>
      <w:r w:rsidR="00AF338E" w:rsidRPr="00174B5A">
        <w:t xml:space="preserve"> (thiazide</w:t>
      </w:r>
      <w:r w:rsidR="0038018D" w:rsidRPr="00174B5A">
        <w:t>s</w:t>
      </w:r>
      <w:r w:rsidR="00AF338E" w:rsidRPr="00174B5A">
        <w:t>, beta-</w:t>
      </w:r>
      <w:r w:rsidR="009D7BEB" w:rsidRPr="00174B5A">
        <w:t>blocker</w:t>
      </w:r>
      <w:r w:rsidR="0038018D" w:rsidRPr="00174B5A">
        <w:t>s</w:t>
      </w:r>
      <w:r w:rsidR="009D7BEB" w:rsidRPr="00174B5A">
        <w:t>, ACE</w:t>
      </w:r>
      <w:r w:rsidR="0038018D" w:rsidRPr="00174B5A">
        <w:t xml:space="preserve"> </w:t>
      </w:r>
      <w:r w:rsidR="00AF338E" w:rsidRPr="00174B5A">
        <w:t>inhibitors</w:t>
      </w:r>
      <w:r w:rsidR="000D0348" w:rsidRPr="00174B5A">
        <w:t xml:space="preserve">, Angiotensin II </w:t>
      </w:r>
      <w:r w:rsidR="00AF338E" w:rsidRPr="00174B5A">
        <w:t>re</w:t>
      </w:r>
      <w:r w:rsidR="0038018D" w:rsidRPr="00174B5A">
        <w:t>ceptor antagonists and calcium ch</w:t>
      </w:r>
      <w:r w:rsidR="009D7BEB" w:rsidRPr="00174B5A">
        <w:t>a</w:t>
      </w:r>
      <w:r w:rsidR="0038018D" w:rsidRPr="00174B5A">
        <w:t>n</w:t>
      </w:r>
      <w:r w:rsidR="009D7BEB" w:rsidRPr="00174B5A">
        <w:t>n</w:t>
      </w:r>
      <w:r w:rsidR="0038018D" w:rsidRPr="00174B5A">
        <w:t>e</w:t>
      </w:r>
      <w:r w:rsidR="009D7BEB" w:rsidRPr="00174B5A">
        <w:t>l</w:t>
      </w:r>
      <w:r w:rsidR="00AF338E" w:rsidRPr="00174B5A">
        <w:t xml:space="preserve"> </w:t>
      </w:r>
      <w:r w:rsidR="009D7BEB" w:rsidRPr="00174B5A">
        <w:t>blocker</w:t>
      </w:r>
      <w:r w:rsidR="0038018D" w:rsidRPr="00174B5A">
        <w:t>s</w:t>
      </w:r>
      <w:r w:rsidR="009D7BEB" w:rsidRPr="00174B5A">
        <w:t xml:space="preserve">) </w:t>
      </w:r>
      <w:r w:rsidR="00A645EE" w:rsidRPr="00172DC9">
        <w:rPr>
          <w:rStyle w:val="ref"/>
        </w:rPr>
        <w:t>[8]</w:t>
      </w:r>
      <w:r w:rsidR="009D7BEB" w:rsidRPr="00174B5A">
        <w:t xml:space="preserve">. </w:t>
      </w:r>
      <w:r w:rsidR="000D0348" w:rsidRPr="00174B5A">
        <w:t>With a normal dosage, the</w:t>
      </w:r>
      <w:r w:rsidR="00AF338E" w:rsidRPr="00174B5A">
        <w:t xml:space="preserve"> reduction </w:t>
      </w:r>
      <w:r w:rsidR="0038018D" w:rsidRPr="00174B5A">
        <w:t>averages 9.1 mmHg systolic and 5.5 </w:t>
      </w:r>
      <w:r w:rsidR="00AF338E" w:rsidRPr="00174B5A">
        <w:t xml:space="preserve">mmHg diastolic </w:t>
      </w:r>
      <w:r w:rsidR="0038018D" w:rsidRPr="00174B5A">
        <w:t>and 7.1 </w:t>
      </w:r>
      <w:r w:rsidR="00AF338E" w:rsidRPr="00174B5A">
        <w:t>mmHg systolic and 4</w:t>
      </w:r>
      <w:r w:rsidR="0038018D" w:rsidRPr="00174B5A">
        <w:t>.</w:t>
      </w:r>
      <w:r w:rsidR="00AF338E" w:rsidRPr="00174B5A">
        <w:t>4</w:t>
      </w:r>
      <w:r w:rsidR="0038018D" w:rsidRPr="00174B5A">
        <w:t> </w:t>
      </w:r>
      <w:r w:rsidR="00AF338E" w:rsidRPr="00174B5A">
        <w:t xml:space="preserve">mmHg diastolic </w:t>
      </w:r>
      <w:r w:rsidR="0038018D" w:rsidRPr="00174B5A">
        <w:t>with</w:t>
      </w:r>
      <w:r w:rsidR="00AF338E" w:rsidRPr="00174B5A">
        <w:t xml:space="preserve"> half of the standard dosage</w:t>
      </w:r>
      <w:r w:rsidR="009D7BEB" w:rsidRPr="00174B5A">
        <w:t xml:space="preserve"> (</w:t>
      </w:r>
      <w:r w:rsidR="0038018D" w:rsidRPr="00174B5A">
        <w:t xml:space="preserve">a </w:t>
      </w:r>
      <w:r w:rsidR="009D7BEB" w:rsidRPr="00174B5A">
        <w:t>20</w:t>
      </w:r>
      <w:r w:rsidR="0038018D" w:rsidRPr="00174B5A">
        <w:t> </w:t>
      </w:r>
      <w:r w:rsidR="009D7BEB" w:rsidRPr="00174B5A">
        <w:t xml:space="preserve">% </w:t>
      </w:r>
      <w:r w:rsidR="00AF338E" w:rsidRPr="00174B5A">
        <w:t>lower reduction</w:t>
      </w:r>
      <w:r w:rsidR="009D7BEB" w:rsidRPr="00174B5A">
        <w:t>)</w:t>
      </w:r>
      <w:r w:rsidR="00A645EE" w:rsidRPr="00174B5A">
        <w:t xml:space="preserve"> </w:t>
      </w:r>
      <w:r w:rsidR="00A645EE" w:rsidRPr="00172DC9">
        <w:rPr>
          <w:rStyle w:val="ref"/>
        </w:rPr>
        <w:t>[8]</w:t>
      </w:r>
      <w:r w:rsidR="009D7BEB" w:rsidRPr="00174B5A">
        <w:t xml:space="preserve">. </w:t>
      </w:r>
      <w:r w:rsidR="00CE0B84" w:rsidRPr="00174B5A">
        <w:t xml:space="preserve">The participants of the intervention group showed a comparatively higher reduction of the systolic blood pressure and similar reductions of the diastolic </w:t>
      </w:r>
      <w:r w:rsidR="0038018D" w:rsidRPr="00174B5A">
        <w:t>pressure</w:t>
      </w:r>
      <w:r w:rsidR="00593FFE" w:rsidRPr="00174B5A">
        <w:t xml:space="preserve"> at a low</w:t>
      </w:r>
      <w:r w:rsidR="00CE0B84" w:rsidRPr="00174B5A">
        <w:t xml:space="preserve"> dosage </w:t>
      </w:r>
      <w:r w:rsidR="0038018D" w:rsidRPr="00174B5A">
        <w:t xml:space="preserve">of the medication </w:t>
      </w:r>
      <w:r w:rsidR="009D7BEB" w:rsidRPr="00174B5A">
        <w:t xml:space="preserve">(Diovan </w:t>
      </w:r>
      <w:r w:rsidR="00A645EE" w:rsidRPr="00174B5A">
        <w:t>8</w:t>
      </w:r>
      <w:r w:rsidR="009D7BEB" w:rsidRPr="00174B5A">
        <w:t>0/1</w:t>
      </w:r>
      <w:r w:rsidR="00A645EE" w:rsidRPr="00174B5A">
        <w:t>6</w:t>
      </w:r>
      <w:r w:rsidR="009D7BEB" w:rsidRPr="00174B5A">
        <w:t>0</w:t>
      </w:r>
      <w:r w:rsidR="0038018D" w:rsidRPr="00174B5A">
        <w:t> </w:t>
      </w:r>
      <w:r w:rsidR="009D7BEB" w:rsidRPr="00174B5A">
        <w:t xml:space="preserve">mg </w:t>
      </w:r>
      <w:r w:rsidR="00CE0B84" w:rsidRPr="00174B5A">
        <w:t>once a day</w:t>
      </w:r>
      <w:r w:rsidR="0038018D" w:rsidRPr="00174B5A">
        <w:t>; Concor 1.</w:t>
      </w:r>
      <w:r w:rsidR="009D7BEB" w:rsidRPr="00174B5A">
        <w:t>25/2</w:t>
      </w:r>
      <w:r w:rsidR="0038018D" w:rsidRPr="00174B5A">
        <w:t>.</w:t>
      </w:r>
      <w:r w:rsidR="009D7BEB" w:rsidRPr="00174B5A">
        <w:t xml:space="preserve">5 </w:t>
      </w:r>
      <w:r w:rsidR="00CE0B84" w:rsidRPr="00174B5A">
        <w:t>half</w:t>
      </w:r>
      <w:r w:rsidR="00F23E44" w:rsidRPr="00174B5A">
        <w:t xml:space="preserve"> or one tablet</w:t>
      </w:r>
      <w:r w:rsidR="00CE0B84" w:rsidRPr="00174B5A">
        <w:t xml:space="preserve"> a day</w:t>
      </w:r>
      <w:r w:rsidR="009D7BEB" w:rsidRPr="00174B5A">
        <w:t>; Bisoprolol 5</w:t>
      </w:r>
      <w:r w:rsidR="0038018D" w:rsidRPr="00174B5A">
        <w:t> </w:t>
      </w:r>
      <w:r w:rsidR="009D7BEB" w:rsidRPr="00174B5A">
        <w:t xml:space="preserve">mg </w:t>
      </w:r>
      <w:r w:rsidR="00CE0B84" w:rsidRPr="00174B5A">
        <w:t>once a day</w:t>
      </w:r>
      <w:r w:rsidR="009D7BEB" w:rsidRPr="00174B5A">
        <w:t>)</w:t>
      </w:r>
      <w:r w:rsidR="00593FFE" w:rsidRPr="00174B5A">
        <w:t>.</w:t>
      </w:r>
      <w:r w:rsidR="009D7BEB" w:rsidRPr="00174B5A">
        <w:t xml:space="preserve"> </w:t>
      </w:r>
      <w:r w:rsidR="00CE0B84" w:rsidRPr="00174B5A">
        <w:t xml:space="preserve">The </w:t>
      </w:r>
      <w:r w:rsidR="0038018D" w:rsidRPr="00174B5A">
        <w:t>cause</w:t>
      </w:r>
      <w:r w:rsidR="00CE0B84" w:rsidRPr="00174B5A">
        <w:t xml:space="preserve"> for the higher reduction of </w:t>
      </w:r>
      <w:r w:rsidR="0038018D" w:rsidRPr="00174B5A">
        <w:t>the systolic blood pressure cannot</w:t>
      </w:r>
      <w:r w:rsidR="00CE0B84" w:rsidRPr="00174B5A">
        <w:t xml:space="preserve"> be exactly solved. One reason could be the low</w:t>
      </w:r>
      <w:r w:rsidR="008D4AA6" w:rsidRPr="00174B5A">
        <w:t xml:space="preserve"> sample size but also</w:t>
      </w:r>
      <w:r w:rsidR="00CE0B84" w:rsidRPr="00174B5A">
        <w:t xml:space="preserve"> the age of </w:t>
      </w:r>
      <w:r w:rsidR="008D4AA6" w:rsidRPr="00174B5A">
        <w:t xml:space="preserve">the </w:t>
      </w:r>
      <w:r w:rsidR="00CE0B84" w:rsidRPr="00174B5A">
        <w:t>patients could play a role</w:t>
      </w:r>
      <w:r w:rsidR="008D4AA6" w:rsidRPr="00174B5A">
        <w:t xml:space="preserve"> here. T</w:t>
      </w:r>
      <w:r w:rsidR="00CE0B84" w:rsidRPr="00174B5A">
        <w:t xml:space="preserve">he blood pressure regulation mechanisms of the organism are exposed to </w:t>
      </w:r>
      <w:r w:rsidR="008D4AA6" w:rsidRPr="00174B5A">
        <w:t xml:space="preserve">elevated </w:t>
      </w:r>
      <w:r w:rsidR="00CE0B84" w:rsidRPr="00174B5A">
        <w:t>blood pressure for</w:t>
      </w:r>
      <w:r w:rsidR="008D4AA6" w:rsidRPr="00174B5A">
        <w:t xml:space="preserve"> only</w:t>
      </w:r>
      <w:r w:rsidR="00CE0B84" w:rsidRPr="00174B5A">
        <w:t xml:space="preserve"> a short time and </w:t>
      </w:r>
      <w:r w:rsidR="008D4AA6" w:rsidRPr="00174B5A">
        <w:t xml:space="preserve">are </w:t>
      </w:r>
      <w:r w:rsidR="00391E64" w:rsidRPr="00174B5A">
        <w:t xml:space="preserve">therefore </w:t>
      </w:r>
      <w:r w:rsidR="00AB6B00" w:rsidRPr="00174B5A">
        <w:t>more flexible</w:t>
      </w:r>
      <w:r w:rsidR="00CE0B84" w:rsidRPr="00174B5A">
        <w:t>.</w:t>
      </w:r>
    </w:p>
    <w:p w:rsidR="009D7BEB" w:rsidRPr="00174B5A" w:rsidRDefault="00E74764" w:rsidP="009D7BEB">
      <w:r w:rsidRPr="00174B5A">
        <w:t xml:space="preserve">The comparison </w:t>
      </w:r>
      <w:r w:rsidR="008D4AA6" w:rsidRPr="00174B5A">
        <w:t>of</w:t>
      </w:r>
      <w:r w:rsidR="00CE0B84" w:rsidRPr="00174B5A">
        <w:t xml:space="preserve"> the effect of the performed intervention with other therapies that orient</w:t>
      </w:r>
      <w:r w:rsidRPr="00174B5A">
        <w:t xml:space="preserve"> more on a change of lifestyle</w:t>
      </w:r>
      <w:r w:rsidR="00F23E44" w:rsidRPr="00174B5A">
        <w:t>,</w:t>
      </w:r>
      <w:r w:rsidRPr="00174B5A">
        <w:t xml:space="preserve"> records </w:t>
      </w:r>
      <w:r w:rsidR="00CE0B84" w:rsidRPr="00174B5A">
        <w:t xml:space="preserve">that the tendential </w:t>
      </w:r>
      <w:r w:rsidR="008D4AA6" w:rsidRPr="00174B5A">
        <w:t>lowering</w:t>
      </w:r>
      <w:r w:rsidR="00CE0B84" w:rsidRPr="00174B5A">
        <w:t xml:space="preserve"> of the systolic blood pressure, which was achieved in the investigation</w:t>
      </w:r>
      <w:r w:rsidR="008D4AA6" w:rsidRPr="00174B5A">
        <w:t>,</w:t>
      </w:r>
      <w:r w:rsidR="00CE0B84" w:rsidRPr="00174B5A">
        <w:t xml:space="preserve"> </w:t>
      </w:r>
      <w:r w:rsidR="008D4AA6" w:rsidRPr="00174B5A">
        <w:t>is</w:t>
      </w:r>
      <w:r w:rsidR="00CE0B84" w:rsidRPr="00174B5A">
        <w:t xml:space="preserve"> si</w:t>
      </w:r>
      <w:r w:rsidR="008D4AA6" w:rsidRPr="00174B5A">
        <w:t>milar to the effects of relaxation</w:t>
      </w:r>
      <w:r w:rsidR="00CE0B84" w:rsidRPr="00174B5A">
        <w:t xml:space="preserve"> procedures and biofeedback</w:t>
      </w:r>
      <w:r w:rsidR="008D4AA6" w:rsidRPr="00174B5A">
        <w:t xml:space="preserve"> therapy</w:t>
      </w:r>
      <w:r w:rsidR="00CE0B84" w:rsidRPr="00174B5A">
        <w:t xml:space="preserve"> </w:t>
      </w:r>
      <w:r w:rsidR="00BC7090" w:rsidRPr="00172DC9">
        <w:rPr>
          <w:rStyle w:val="ref"/>
        </w:rPr>
        <w:t>[</w:t>
      </w:r>
      <w:r w:rsidR="00A645EE" w:rsidRPr="00172DC9">
        <w:rPr>
          <w:rStyle w:val="ref"/>
        </w:rPr>
        <w:t>22</w:t>
      </w:r>
      <w:r w:rsidR="00BC7090" w:rsidRPr="00172DC9">
        <w:rPr>
          <w:rStyle w:val="ref"/>
        </w:rPr>
        <w:t>]</w:t>
      </w:r>
      <w:r w:rsidR="009D7BEB" w:rsidRPr="00174B5A">
        <w:t xml:space="preserve"> </w:t>
      </w:r>
      <w:r w:rsidR="00CE0B84" w:rsidRPr="00174B5A">
        <w:t xml:space="preserve">and higher than the effect of weight reduction </w:t>
      </w:r>
      <w:r w:rsidR="00BC7090" w:rsidRPr="00172DC9">
        <w:rPr>
          <w:rStyle w:val="ref"/>
        </w:rPr>
        <w:t>[</w:t>
      </w:r>
      <w:r w:rsidR="00A645EE" w:rsidRPr="00172DC9">
        <w:rPr>
          <w:rStyle w:val="ref"/>
        </w:rPr>
        <w:t>5, 14, 15</w:t>
      </w:r>
      <w:r w:rsidR="00BC7090" w:rsidRPr="00172DC9">
        <w:rPr>
          <w:rStyle w:val="ref"/>
        </w:rPr>
        <w:t>]</w:t>
      </w:r>
      <w:r w:rsidR="009D7BEB" w:rsidRPr="00174B5A">
        <w:t xml:space="preserve"> </w:t>
      </w:r>
      <w:r w:rsidR="00CE0B84" w:rsidRPr="00174B5A">
        <w:t xml:space="preserve">and </w:t>
      </w:r>
      <w:r w:rsidR="008D4AA6" w:rsidRPr="00174B5A">
        <w:t>dietary change</w:t>
      </w:r>
      <w:r w:rsidR="00CE0B84" w:rsidRPr="00174B5A">
        <w:t xml:space="preserve"> </w:t>
      </w:r>
      <w:r w:rsidR="00BC7090" w:rsidRPr="00172DC9">
        <w:rPr>
          <w:rStyle w:val="ref"/>
        </w:rPr>
        <w:t>[</w:t>
      </w:r>
      <w:r w:rsidR="00A645EE" w:rsidRPr="00172DC9">
        <w:rPr>
          <w:rStyle w:val="ref"/>
        </w:rPr>
        <w:t>1, 12</w:t>
      </w:r>
      <w:r w:rsidR="00BC7090" w:rsidRPr="00172DC9">
        <w:rPr>
          <w:rStyle w:val="ref"/>
        </w:rPr>
        <w:t>]</w:t>
      </w:r>
      <w:r w:rsidR="009D7BEB" w:rsidRPr="00174B5A">
        <w:t xml:space="preserve">. </w:t>
      </w:r>
      <w:r w:rsidR="00CB76A7" w:rsidRPr="00174B5A">
        <w:t xml:space="preserve">If the results of this investigation are confirmed by a bigger </w:t>
      </w:r>
      <w:r w:rsidR="00CB76A7" w:rsidRPr="00174B5A">
        <w:lastRenderedPageBreak/>
        <w:t>sample size, it will rep</w:t>
      </w:r>
      <w:r w:rsidR="008D4AA6" w:rsidRPr="00174B5A">
        <w:t>resent a useful addition to drug-free</w:t>
      </w:r>
      <w:r w:rsidR="00CB76A7" w:rsidRPr="00174B5A">
        <w:t xml:space="preserve"> treatment methods. </w:t>
      </w:r>
      <w:r w:rsidR="00F23E44" w:rsidRPr="00174B5A">
        <w:t>T</w:t>
      </w:r>
      <w:r w:rsidR="00CB76A7" w:rsidRPr="00174B5A">
        <w:t xml:space="preserve">he </w:t>
      </w:r>
      <w:r w:rsidR="005065F1" w:rsidRPr="00174B5A">
        <w:t>little time</w:t>
      </w:r>
      <w:r w:rsidR="00CB76A7" w:rsidRPr="00174B5A">
        <w:t xml:space="preserve"> patients</w:t>
      </w:r>
      <w:r w:rsidR="005065F1" w:rsidRPr="00174B5A">
        <w:t xml:space="preserve"> have to spend</w:t>
      </w:r>
      <w:r w:rsidR="00F23E44" w:rsidRPr="00174B5A">
        <w:t xml:space="preserve"> is a clear advantage in this case</w:t>
      </w:r>
      <w:r w:rsidR="00A9188F" w:rsidRPr="00174B5A">
        <w:t>. Furthermore,</w:t>
      </w:r>
      <w:r w:rsidR="00CB76A7" w:rsidRPr="00174B5A">
        <w:t xml:space="preserve"> studies </w:t>
      </w:r>
      <w:r w:rsidR="005065F1" w:rsidRPr="00174B5A">
        <w:t>revealed</w:t>
      </w:r>
      <w:r w:rsidR="00CB76A7" w:rsidRPr="00174B5A">
        <w:t xml:space="preserve"> that a low dosage of </w:t>
      </w:r>
      <w:r w:rsidR="005065F1" w:rsidRPr="00174B5A">
        <w:t>medication</w:t>
      </w:r>
      <w:r w:rsidR="00CB76A7" w:rsidRPr="00174B5A">
        <w:t xml:space="preserve"> can lead to a high compliance </w:t>
      </w:r>
      <w:r w:rsidR="005065F1" w:rsidRPr="00174B5A">
        <w:t>in</w:t>
      </w:r>
      <w:r w:rsidR="00CB76A7" w:rsidRPr="00174B5A">
        <w:t xml:space="preserve"> patients </w:t>
      </w:r>
      <w:r w:rsidR="00B45432" w:rsidRPr="00172DC9">
        <w:rPr>
          <w:rStyle w:val="ref"/>
        </w:rPr>
        <w:t>[</w:t>
      </w:r>
      <w:r w:rsidR="00A645EE" w:rsidRPr="00172DC9">
        <w:rPr>
          <w:rStyle w:val="ref"/>
        </w:rPr>
        <w:t>3</w:t>
      </w:r>
      <w:r w:rsidR="00B45432" w:rsidRPr="00172DC9">
        <w:rPr>
          <w:rStyle w:val="ref"/>
        </w:rPr>
        <w:t>]</w:t>
      </w:r>
      <w:r w:rsidR="00B45432" w:rsidRPr="00174B5A">
        <w:t xml:space="preserve">. </w:t>
      </w:r>
      <w:r w:rsidR="00CB76A7" w:rsidRPr="00174B5A">
        <w:t xml:space="preserve">But </w:t>
      </w:r>
      <w:r w:rsidR="0011122A" w:rsidRPr="00174B5A">
        <w:t>motivating</w:t>
      </w:r>
      <w:r w:rsidR="005065F1" w:rsidRPr="00174B5A">
        <w:t xml:space="preserve"> </w:t>
      </w:r>
      <w:r w:rsidR="00CB76A7" w:rsidRPr="00174B5A">
        <w:t xml:space="preserve">young adults </w:t>
      </w:r>
      <w:r w:rsidR="009D7BEB" w:rsidRPr="00174B5A">
        <w:t>(&lt;30</w:t>
      </w:r>
      <w:r w:rsidR="005065F1" w:rsidRPr="00174B5A">
        <w:t> years</w:t>
      </w:r>
      <w:r w:rsidR="009D7BEB" w:rsidRPr="00174B5A">
        <w:t xml:space="preserve">) </w:t>
      </w:r>
      <w:r w:rsidR="005065F1" w:rsidRPr="00174B5A">
        <w:t xml:space="preserve">to participate </w:t>
      </w:r>
      <w:r w:rsidR="00CB76A7" w:rsidRPr="00174B5A">
        <w:t xml:space="preserve">on relaxation methods could rather be difficult. The </w:t>
      </w:r>
      <w:r w:rsidR="005065F1" w:rsidRPr="00174B5A">
        <w:t>implemented</w:t>
      </w:r>
      <w:r w:rsidR="00CB76A7" w:rsidRPr="00174B5A">
        <w:t xml:space="preserve"> intervention should not be the</w:t>
      </w:r>
      <w:r w:rsidR="0011122A" w:rsidRPr="00174B5A">
        <w:t xml:space="preserve"> therapy of</w:t>
      </w:r>
      <w:r w:rsidR="00CB76A7" w:rsidRPr="00174B5A">
        <w:t xml:space="preserve"> first choice</w:t>
      </w:r>
      <w:r w:rsidR="005065F1" w:rsidRPr="00174B5A">
        <w:t xml:space="preserve"> </w:t>
      </w:r>
      <w:r w:rsidR="00CB76A7" w:rsidRPr="00174B5A">
        <w:t xml:space="preserve">but should be used </w:t>
      </w:r>
      <w:r w:rsidR="005065F1" w:rsidRPr="00174B5A">
        <w:t>in</w:t>
      </w:r>
      <w:r w:rsidR="00CB76A7" w:rsidRPr="00174B5A">
        <w:t xml:space="preserve"> young </w:t>
      </w:r>
      <w:r w:rsidR="005065F1" w:rsidRPr="00174B5A">
        <w:t>people</w:t>
      </w:r>
      <w:r w:rsidR="00CB76A7" w:rsidRPr="00174B5A">
        <w:t xml:space="preserve"> who are not </w:t>
      </w:r>
      <w:r w:rsidR="005065F1" w:rsidRPr="00174B5A">
        <w:t>overweight</w:t>
      </w:r>
      <w:r w:rsidR="00CB76A7" w:rsidRPr="00174B5A">
        <w:t>, non-smokers and often do sports.</w:t>
      </w:r>
    </w:p>
    <w:p w:rsidR="009D7BEB" w:rsidRPr="00174B5A" w:rsidRDefault="009D7BEB">
      <w:r w:rsidRPr="00174B5A">
        <w:t>I</w:t>
      </w:r>
      <w:r w:rsidR="00CB76A7" w:rsidRPr="00174B5A">
        <w:t>n general, epidemiolog</w:t>
      </w:r>
      <w:r w:rsidR="005065F1" w:rsidRPr="00174B5A">
        <w:t>ic data of hypertension investig</w:t>
      </w:r>
      <w:r w:rsidR="00CB76A7" w:rsidRPr="00174B5A">
        <w:t xml:space="preserve">ation </w:t>
      </w:r>
      <w:r w:rsidR="00A645EE" w:rsidRPr="00172DC9">
        <w:rPr>
          <w:rStyle w:val="ref"/>
        </w:rPr>
        <w:t>[6]</w:t>
      </w:r>
      <w:r w:rsidR="00CB76A7" w:rsidRPr="00174B5A">
        <w:t xml:space="preserve"> </w:t>
      </w:r>
      <w:r w:rsidR="005065F1" w:rsidRPr="00174B5A">
        <w:t>revealed</w:t>
      </w:r>
      <w:r w:rsidR="00CB76A7" w:rsidRPr="00174B5A">
        <w:t xml:space="preserve"> that increased diastolic and systolic blood pressure values are </w:t>
      </w:r>
      <w:r w:rsidR="005065F1" w:rsidRPr="00174B5A">
        <w:t>relevant</w:t>
      </w:r>
      <w:r w:rsidR="00CB76A7" w:rsidRPr="00174B5A">
        <w:t xml:space="preserve"> for the cardiovascular risk. </w:t>
      </w:r>
      <w:r w:rsidR="00DF7EF3" w:rsidRPr="00174B5A">
        <w:t>In combination</w:t>
      </w:r>
      <w:r w:rsidR="00CB76A7" w:rsidRPr="00174B5A">
        <w:t xml:space="preserve"> with other risk factors </w:t>
      </w:r>
      <w:r w:rsidRPr="00174B5A">
        <w:t>(</w:t>
      </w:r>
      <w:r w:rsidR="00CB76A7" w:rsidRPr="00174B5A">
        <w:t>nicotine abuse, d</w:t>
      </w:r>
      <w:r w:rsidRPr="00174B5A">
        <w:t xml:space="preserve">iabetes mellitus, </w:t>
      </w:r>
      <w:r w:rsidR="00CB76A7" w:rsidRPr="00174B5A">
        <w:t>a</w:t>
      </w:r>
      <w:r w:rsidR="00DF7EF3" w:rsidRPr="00174B5A">
        <w:t>diposity</w:t>
      </w:r>
      <w:r w:rsidRPr="00174B5A">
        <w:t xml:space="preserve">, </w:t>
      </w:r>
      <w:r w:rsidR="00DF7EF3" w:rsidRPr="00174B5A">
        <w:t>etc.</w:t>
      </w:r>
      <w:r w:rsidRPr="00174B5A">
        <w:t>)</w:t>
      </w:r>
      <w:r w:rsidR="008760E9" w:rsidRPr="00174B5A">
        <w:t xml:space="preserve">, </w:t>
      </w:r>
      <w:r w:rsidR="00DF7EF3" w:rsidRPr="00174B5A">
        <w:t>the</w:t>
      </w:r>
      <w:r w:rsidR="008760E9" w:rsidRPr="00174B5A">
        <w:t xml:space="preserve"> blood pressure increases lead to a further </w:t>
      </w:r>
      <w:r w:rsidR="00DF7EF3" w:rsidRPr="00174B5A">
        <w:t>aggravation</w:t>
      </w:r>
      <w:r w:rsidR="008760E9" w:rsidRPr="00174B5A">
        <w:t xml:space="preserve"> of the </w:t>
      </w:r>
      <w:r w:rsidR="00DF7EF3" w:rsidRPr="00174B5A">
        <w:t>prognosis</w:t>
      </w:r>
      <w:r w:rsidR="008760E9" w:rsidRPr="00174B5A">
        <w:t xml:space="preserve">. </w:t>
      </w:r>
      <w:r w:rsidR="00DF7EF3" w:rsidRPr="00174B5A">
        <w:t xml:space="preserve">With every increase of the systolic </w:t>
      </w:r>
      <w:r w:rsidR="0011122A" w:rsidRPr="00174B5A">
        <w:t xml:space="preserve">blood </w:t>
      </w:r>
      <w:r w:rsidR="00DF7EF3" w:rsidRPr="00174B5A">
        <w:t xml:space="preserve">pressure by 20 mmHg and of the diastolic </w:t>
      </w:r>
      <w:r w:rsidR="0011122A" w:rsidRPr="00174B5A">
        <w:t xml:space="preserve">blood pressure by </w:t>
      </w:r>
      <w:r w:rsidR="00DF7EF3" w:rsidRPr="00174B5A">
        <w:t>10 mmHg, p</w:t>
      </w:r>
      <w:r w:rsidR="008760E9" w:rsidRPr="00174B5A">
        <w:t xml:space="preserve">eople between </w:t>
      </w:r>
      <w:r w:rsidRPr="00174B5A">
        <w:t xml:space="preserve">40 </w:t>
      </w:r>
      <w:r w:rsidR="008760E9" w:rsidRPr="00174B5A">
        <w:t>a</w:t>
      </w:r>
      <w:r w:rsidRPr="00174B5A">
        <w:t xml:space="preserve">nd 69 </w:t>
      </w:r>
      <w:r w:rsidR="008760E9" w:rsidRPr="00174B5A">
        <w:t>years indicate a</w:t>
      </w:r>
      <w:r w:rsidR="00DF7EF3" w:rsidRPr="00174B5A">
        <w:t xml:space="preserve"> risk for </w:t>
      </w:r>
      <w:r w:rsidR="008760E9" w:rsidRPr="00174B5A">
        <w:t xml:space="preserve">strokes or coronary mortality </w:t>
      </w:r>
      <w:r w:rsidR="00DF7EF3" w:rsidRPr="00174B5A">
        <w:t xml:space="preserve">which is twice as high as </w:t>
      </w:r>
      <w:r w:rsidR="005511E5" w:rsidRPr="00174B5A">
        <w:t>usually</w:t>
      </w:r>
      <w:r w:rsidR="00DF7EF3" w:rsidRPr="00174B5A">
        <w:t xml:space="preserve"> </w:t>
      </w:r>
      <w:r w:rsidR="00B45432" w:rsidRPr="00172DC9">
        <w:rPr>
          <w:rStyle w:val="ref"/>
        </w:rPr>
        <w:t>[</w:t>
      </w:r>
      <w:r w:rsidR="005C20C7" w:rsidRPr="00172DC9">
        <w:rPr>
          <w:rStyle w:val="ref"/>
        </w:rPr>
        <w:t>16</w:t>
      </w:r>
      <w:r w:rsidR="00B45432" w:rsidRPr="00172DC9">
        <w:rPr>
          <w:rStyle w:val="ref"/>
        </w:rPr>
        <w:t>]</w:t>
      </w:r>
      <w:r w:rsidRPr="00174B5A">
        <w:t>.</w:t>
      </w:r>
      <w:r w:rsidR="008760E9" w:rsidRPr="00174B5A">
        <w:t xml:space="preserve"> </w:t>
      </w:r>
      <w:r w:rsidR="00DF7EF3" w:rsidRPr="00174B5A">
        <w:t>Furthermore, the data that</w:t>
      </w:r>
      <w:r w:rsidR="008760E9" w:rsidRPr="00174B5A">
        <w:t xml:space="preserve"> was collected four years long</w:t>
      </w:r>
      <w:r w:rsidR="00DF7EF3" w:rsidRPr="00174B5A">
        <w:t xml:space="preserve"> in the scope of the Framingham</w:t>
      </w:r>
      <w:r w:rsidR="008760E9" w:rsidRPr="00174B5A">
        <w:t xml:space="preserve"> study</w:t>
      </w:r>
      <w:r w:rsidR="005C20C7" w:rsidRPr="00174B5A">
        <w:t xml:space="preserve"> </w:t>
      </w:r>
      <w:r w:rsidR="005C20C7" w:rsidRPr="00172DC9">
        <w:rPr>
          <w:rStyle w:val="ref"/>
        </w:rPr>
        <w:t>[20</w:t>
      </w:r>
      <w:r w:rsidR="008760E9" w:rsidRPr="00172DC9">
        <w:rPr>
          <w:rStyle w:val="ref"/>
        </w:rPr>
        <w:t>]</w:t>
      </w:r>
      <w:r w:rsidRPr="00174B5A">
        <w:t xml:space="preserve"> </w:t>
      </w:r>
      <w:r w:rsidR="008760E9" w:rsidRPr="00174B5A">
        <w:t xml:space="preserve">indicates that people under 65 years with high normal blood pressure develop hypertension seven times more often than people with optimal blood pressure. </w:t>
      </w:r>
      <w:r w:rsidR="00220F2C" w:rsidRPr="00174B5A">
        <w:t>In the present investigation</w:t>
      </w:r>
      <w:r w:rsidR="005511E5" w:rsidRPr="00174B5A">
        <w:t xml:space="preserve"> it was possible to tendentially lower</w:t>
      </w:r>
      <w:r w:rsidR="008760E9" w:rsidRPr="00174B5A">
        <w:t xml:space="preserve"> the systolic bloo</w:t>
      </w:r>
      <w:r w:rsidR="00220F2C" w:rsidRPr="00174B5A">
        <w:t>d</w:t>
      </w:r>
      <w:r w:rsidR="008760E9" w:rsidRPr="00174B5A">
        <w:t xml:space="preserve"> pressure by 6.</w:t>
      </w:r>
      <w:r w:rsidRPr="00174B5A">
        <w:t>59 (±</w:t>
      </w:r>
      <w:r w:rsidR="00220F2C" w:rsidRPr="00174B5A">
        <w:t> </w:t>
      </w:r>
      <w:r w:rsidRPr="00174B5A">
        <w:t>5</w:t>
      </w:r>
      <w:r w:rsidR="005511E5" w:rsidRPr="00174B5A">
        <w:t>.02) mmHg and as a result</w:t>
      </w:r>
      <w:r w:rsidR="00220F2C" w:rsidRPr="00174B5A">
        <w:t xml:space="preserve"> </w:t>
      </w:r>
      <w:r w:rsidR="008760E9" w:rsidRPr="00174B5A">
        <w:t xml:space="preserve">the cardiovascular risk of patients </w:t>
      </w:r>
      <w:r w:rsidR="00220F2C" w:rsidRPr="00174B5A">
        <w:t>declines</w:t>
      </w:r>
      <w:r w:rsidR="008760E9" w:rsidRPr="00174B5A">
        <w:t>. The diastolic blood pressure of the inter</w:t>
      </w:r>
      <w:r w:rsidR="005511E5" w:rsidRPr="00174B5A">
        <w:t>vention group was reduced by antihypertensive medication (not significantly)</w:t>
      </w:r>
      <w:r w:rsidR="008760E9" w:rsidRPr="00174B5A">
        <w:t xml:space="preserve"> bu</w:t>
      </w:r>
      <w:r w:rsidR="00220F2C" w:rsidRPr="00174B5A">
        <w:t>t was similar to the base level</w:t>
      </w:r>
      <w:r w:rsidR="008760E9" w:rsidRPr="00174B5A">
        <w:t xml:space="preserve"> </w:t>
      </w:r>
      <w:r w:rsidR="005511E5" w:rsidRPr="00174B5A">
        <w:t xml:space="preserve">after </w:t>
      </w:r>
      <w:r w:rsidR="008760E9" w:rsidRPr="00174B5A">
        <w:t>th</w:t>
      </w:r>
      <w:r w:rsidR="00220F2C" w:rsidRPr="00174B5A">
        <w:t xml:space="preserve">ree months </w:t>
      </w:r>
      <w:r w:rsidR="005511E5" w:rsidRPr="00174B5A">
        <w:t xml:space="preserve">of not taking </w:t>
      </w:r>
      <w:r w:rsidR="008760E9" w:rsidRPr="00174B5A">
        <w:t xml:space="preserve">medication. </w:t>
      </w:r>
      <w:r w:rsidR="00220F2C" w:rsidRPr="00174B5A">
        <w:t>However,</w:t>
      </w:r>
      <w:r w:rsidR="005511E5" w:rsidRPr="00174B5A">
        <w:t xml:space="preserve"> the measured values</w:t>
      </w:r>
      <w:r w:rsidR="008760E9" w:rsidRPr="00174B5A">
        <w:t xml:space="preserve"> still </w:t>
      </w:r>
      <w:r w:rsidR="005511E5" w:rsidRPr="00174B5A">
        <w:t xml:space="preserve">clearly </w:t>
      </w:r>
      <w:r w:rsidR="008760E9" w:rsidRPr="00174B5A">
        <w:t xml:space="preserve">lie under the critical level of </w:t>
      </w:r>
      <w:r w:rsidR="00220F2C" w:rsidRPr="00174B5A">
        <w:t>80 </w:t>
      </w:r>
      <w:r w:rsidRPr="00174B5A">
        <w:t xml:space="preserve">mmHg. </w:t>
      </w:r>
      <w:r w:rsidR="005511E5" w:rsidRPr="00174B5A">
        <w:t xml:space="preserve">So it can be assumed that there </w:t>
      </w:r>
      <w:r w:rsidR="008760E9" w:rsidRPr="00174B5A">
        <w:t xml:space="preserve">are no pathological changes of the </w:t>
      </w:r>
      <w:r w:rsidR="008760E9" w:rsidRPr="00174B5A">
        <w:lastRenderedPageBreak/>
        <w:t xml:space="preserve">vascular system </w:t>
      </w:r>
      <w:r w:rsidR="005511E5" w:rsidRPr="00174B5A">
        <w:t>until now</w:t>
      </w:r>
      <w:r w:rsidR="008760E9" w:rsidRPr="00174B5A">
        <w:t xml:space="preserve">. Additionally, a reduction of the diastolic blood pressure regarding the development of the pulse pressure is not desired. </w:t>
      </w:r>
      <w:r w:rsidR="00D06212" w:rsidRPr="00174B5A">
        <w:t xml:space="preserve">A higher pulse pressure </w:t>
      </w:r>
      <w:r w:rsidRPr="00174B5A">
        <w:t>(&lt;65</w:t>
      </w:r>
      <w:r w:rsidR="00220F2C" w:rsidRPr="00174B5A">
        <w:t> </w:t>
      </w:r>
      <w:r w:rsidRPr="00174B5A">
        <w:t>mmHg) i</w:t>
      </w:r>
      <w:r w:rsidR="00D06212" w:rsidRPr="00174B5A">
        <w:t>s a</w:t>
      </w:r>
      <w:r w:rsidR="00220F2C" w:rsidRPr="00174B5A">
        <w:t>n</w:t>
      </w:r>
      <w:r w:rsidR="00D06212" w:rsidRPr="00174B5A">
        <w:t xml:space="preserve"> independent risk factor, which lies in close correlation with the development of a myocardial infarction, a stroke or a left ventricular hypertrophy </w:t>
      </w:r>
      <w:r w:rsidR="00B45432" w:rsidRPr="00172DC9">
        <w:rPr>
          <w:rStyle w:val="ref"/>
        </w:rPr>
        <w:t>[21]</w:t>
      </w:r>
      <w:r w:rsidRPr="00174B5A">
        <w:t xml:space="preserve">. </w:t>
      </w:r>
      <w:r w:rsidR="005511E5" w:rsidRPr="00174B5A">
        <w:t>While</w:t>
      </w:r>
      <w:r w:rsidR="00D06212" w:rsidRPr="00174B5A">
        <w:t xml:space="preserve"> observing the measurements of the pu</w:t>
      </w:r>
      <w:r w:rsidR="00220F2C" w:rsidRPr="00174B5A">
        <w:t>lse pressure it is apparent tha</w:t>
      </w:r>
      <w:r w:rsidR="00D06212" w:rsidRPr="00174B5A">
        <w:t xml:space="preserve">t both groups lie over the standard values </w:t>
      </w:r>
      <w:r w:rsidR="00220F2C" w:rsidRPr="00174B5A">
        <w:t>(&lt;50 </w:t>
      </w:r>
      <w:r w:rsidR="005511E5" w:rsidRPr="00174B5A">
        <w:t xml:space="preserve">mmHg). However, </w:t>
      </w:r>
      <w:r w:rsidR="00D06212" w:rsidRPr="00174B5A">
        <w:t xml:space="preserve">it can be </w:t>
      </w:r>
      <w:r w:rsidR="00220F2C" w:rsidRPr="00174B5A">
        <w:t>noted</w:t>
      </w:r>
      <w:r w:rsidR="00D06212" w:rsidRPr="00174B5A">
        <w:t xml:space="preserve"> that the pulse pressure of the intervention group is</w:t>
      </w:r>
      <w:r w:rsidR="00220F2C" w:rsidRPr="00174B5A">
        <w:t xml:space="preserve"> reduced by the intake of medication. T</w:t>
      </w:r>
      <w:r w:rsidR="00D06212" w:rsidRPr="00174B5A">
        <w:t xml:space="preserve">his tendential reduction still exists after </w:t>
      </w:r>
      <w:r w:rsidR="00220F2C" w:rsidRPr="00174B5A">
        <w:t>discontinuing</w:t>
      </w:r>
      <w:r w:rsidR="005511E5" w:rsidRPr="00174B5A">
        <w:t xml:space="preserve"> </w:t>
      </w:r>
      <w:r w:rsidR="00D06212" w:rsidRPr="00174B5A">
        <w:t>antihype</w:t>
      </w:r>
      <w:r w:rsidR="005511E5" w:rsidRPr="00174B5A">
        <w:t>rtensive medication and consequently</w:t>
      </w:r>
      <w:r w:rsidR="00D06212" w:rsidRPr="00174B5A">
        <w:t>, an improvement of the prognosis can be assumed.</w:t>
      </w:r>
    </w:p>
    <w:p w:rsidR="002A04C3" w:rsidRPr="00174B5A" w:rsidRDefault="00A87BFF" w:rsidP="00376964">
      <w:r w:rsidRPr="00174B5A">
        <w:t>This was one of the first</w:t>
      </w:r>
      <w:r w:rsidR="00F23E44" w:rsidRPr="00174B5A">
        <w:t xml:space="preserve"> investigations of this kind. Y</w:t>
      </w:r>
      <w:r w:rsidRPr="00174B5A">
        <w:t>oung patients and patients with uncomplicated hypertension are a rather unusual research topic in the investigation of hypertension</w:t>
      </w:r>
      <w:r w:rsidR="00220F2C" w:rsidRPr="00174B5A">
        <w:t>. This is</w:t>
      </w:r>
      <w:r w:rsidRPr="00174B5A">
        <w:t xml:space="preserve"> </w:t>
      </w:r>
      <w:r w:rsidR="00220F2C" w:rsidRPr="00174B5A">
        <w:t>t</w:t>
      </w:r>
      <w:r w:rsidRPr="00174B5A">
        <w:t xml:space="preserve">he reason why there are a number of open questions and </w:t>
      </w:r>
      <w:r w:rsidR="00F23E44" w:rsidRPr="00174B5A">
        <w:t>starting</w:t>
      </w:r>
      <w:r w:rsidRPr="00174B5A">
        <w:t xml:space="preserve"> points. </w:t>
      </w:r>
      <w:r w:rsidR="00220F2C" w:rsidRPr="00174B5A">
        <w:t>I</w:t>
      </w:r>
      <w:r w:rsidRPr="00174B5A">
        <w:t xml:space="preserve">t is necessary to confirm the present results </w:t>
      </w:r>
      <w:r w:rsidR="00323FA1" w:rsidRPr="00174B5A">
        <w:t>by</w:t>
      </w:r>
      <w:r w:rsidRPr="00174B5A">
        <w:t xml:space="preserve"> future studies with a bigger sample size</w:t>
      </w:r>
      <w:r w:rsidR="00323FA1" w:rsidRPr="00174B5A">
        <w:t xml:space="preserve"> and to </w:t>
      </w:r>
      <w:r w:rsidR="00F23E44" w:rsidRPr="00174B5A">
        <w:t>support</w:t>
      </w:r>
      <w:r w:rsidR="00323FA1" w:rsidRPr="00174B5A">
        <w:t xml:space="preserve"> them statistically more reliable. Further</w:t>
      </w:r>
      <w:r w:rsidR="00220F2C" w:rsidRPr="00174B5A">
        <w:t>more,</w:t>
      </w:r>
      <w:r w:rsidR="00323FA1" w:rsidRPr="00174B5A">
        <w:t xml:space="preserve"> it is necessary to check the effects regarding different influential variables such as age, family anamnesis, period of therapy, size of </w:t>
      </w:r>
      <w:r w:rsidR="00220F2C" w:rsidRPr="00174B5A">
        <w:t xml:space="preserve">the initial blood pressure and </w:t>
      </w:r>
      <w:r w:rsidR="00323FA1" w:rsidRPr="00174B5A">
        <w:t>use</w:t>
      </w:r>
      <w:r w:rsidR="00220F2C" w:rsidRPr="00174B5A">
        <w:t>d</w:t>
      </w:r>
      <w:r w:rsidR="00323FA1" w:rsidRPr="00174B5A">
        <w:t xml:space="preserve"> antihypertensive</w:t>
      </w:r>
      <w:r w:rsidR="005511E5" w:rsidRPr="00174B5A">
        <w:t xml:space="preserve"> medication</w:t>
      </w:r>
      <w:r w:rsidR="00323FA1" w:rsidRPr="00174B5A">
        <w:t>.</w:t>
      </w:r>
      <w:r w:rsidR="000D356E" w:rsidRPr="00174B5A">
        <w:t xml:space="preserve"> </w:t>
      </w:r>
    </w:p>
    <w:p w:rsidR="002A04C3" w:rsidRPr="00174B5A" w:rsidRDefault="002A04C3" w:rsidP="00376964"/>
    <w:p w:rsidR="002A04C3" w:rsidRPr="00174B5A" w:rsidRDefault="002A04C3" w:rsidP="00376964"/>
    <w:p w:rsidR="002B73E6" w:rsidRPr="00174B5A" w:rsidRDefault="00323FA1" w:rsidP="00671D7D">
      <w:r w:rsidRPr="00174B5A">
        <w:t>Additionally</w:t>
      </w:r>
      <w:r w:rsidR="00220F2C" w:rsidRPr="00174B5A">
        <w:t>,</w:t>
      </w:r>
      <w:r w:rsidRPr="00174B5A">
        <w:t xml:space="preserve"> the observation period after </w:t>
      </w:r>
      <w:r w:rsidR="006045B0" w:rsidRPr="00174B5A">
        <w:t xml:space="preserve">discontinuing </w:t>
      </w:r>
      <w:r w:rsidRPr="00174B5A">
        <w:t xml:space="preserve">medication </w:t>
      </w:r>
      <w:r w:rsidR="00F23E44" w:rsidRPr="00174B5A">
        <w:t>could</w:t>
      </w:r>
      <w:r w:rsidRPr="00174B5A">
        <w:t xml:space="preserve"> be expanded to see ho</w:t>
      </w:r>
      <w:r w:rsidR="006045B0" w:rsidRPr="00174B5A">
        <w:t xml:space="preserve">w the blood pressure develops </w:t>
      </w:r>
      <w:r w:rsidR="005511E5" w:rsidRPr="00174B5A">
        <w:t>over a long period</w:t>
      </w:r>
      <w:r w:rsidR="006045B0" w:rsidRPr="00174B5A">
        <w:t>. The the</w:t>
      </w:r>
      <w:r w:rsidRPr="00174B5A">
        <w:t>rapy could</w:t>
      </w:r>
      <w:r w:rsidR="006045B0" w:rsidRPr="00174B5A">
        <w:t xml:space="preserve"> also be performed together with drug-free</w:t>
      </w:r>
      <w:r w:rsidRPr="00174B5A">
        <w:t xml:space="preserve"> treatments (weight reduction</w:t>
      </w:r>
      <w:r w:rsidR="000D356E" w:rsidRPr="00174B5A">
        <w:t xml:space="preserve">) </w:t>
      </w:r>
      <w:r w:rsidRPr="00174B5A">
        <w:t xml:space="preserve">to check if there </w:t>
      </w:r>
      <w:r w:rsidR="006045B0" w:rsidRPr="00174B5A">
        <w:t>are</w:t>
      </w:r>
      <w:r w:rsidRPr="00174B5A">
        <w:t xml:space="preserve"> additive effects regarding the reduction of the blood pressure</w:t>
      </w:r>
      <w:r w:rsidR="00E900B2" w:rsidRPr="00174B5A">
        <w:t>.</w:t>
      </w:r>
    </w:p>
    <w:p w:rsidR="00376964" w:rsidRPr="00174B5A" w:rsidRDefault="00376964" w:rsidP="00376964">
      <w:pPr>
        <w:sectPr w:rsidR="00376964" w:rsidRPr="00174B5A">
          <w:footnotePr>
            <w:pos w:val="beneathText"/>
          </w:footnotePr>
          <w:type w:val="continuous"/>
          <w:pgSz w:w="11905" w:h="16837"/>
          <w:pgMar w:top="1417" w:right="1417" w:bottom="1134" w:left="1417" w:header="708" w:footer="720" w:gutter="0"/>
          <w:cols w:num="2" w:space="709"/>
          <w:docGrid w:linePitch="360"/>
        </w:sectPr>
      </w:pPr>
    </w:p>
    <w:p w:rsidR="00FB1A8B" w:rsidRPr="00174B5A" w:rsidRDefault="00FB1A8B" w:rsidP="00FB1A8B">
      <w:pPr>
        <w:pStyle w:val="Headline-2"/>
      </w:pPr>
      <w:r w:rsidRPr="00174B5A">
        <w:lastRenderedPageBreak/>
        <w:t>Bibliography</w:t>
      </w:r>
    </w:p>
    <w:p w:rsidR="003120F4" w:rsidRPr="00174B5A" w:rsidRDefault="003120F4" w:rsidP="00174B5A">
      <w:pPr>
        <w:pStyle w:val="references"/>
        <w:tabs>
          <w:tab w:val="clear" w:pos="851"/>
          <w:tab w:val="left" w:pos="993"/>
        </w:tabs>
        <w:ind w:left="851" w:hanging="851"/>
      </w:pPr>
      <w:r w:rsidRPr="00287E01">
        <w:rPr>
          <w:b/>
        </w:rPr>
        <w:t>Appel, L.J., Miller, E.R., Seidler, A.J, &amp; Whelton, P.K. (1993).</w:t>
      </w:r>
      <w:r w:rsidRPr="00174B5A">
        <w:t xml:space="preserve"> Does supplementation of diet with ’ﬁsh oil’ reduce blood pressure? A meta-analysis of controlled clinical trials. Arch Intern Med, 153,1429–1438.</w:t>
      </w:r>
    </w:p>
    <w:p w:rsidR="003120F4" w:rsidRPr="00174B5A" w:rsidRDefault="003120F4" w:rsidP="00174B5A">
      <w:pPr>
        <w:pStyle w:val="references"/>
        <w:tabs>
          <w:tab w:val="clear" w:pos="851"/>
          <w:tab w:val="left" w:pos="993"/>
        </w:tabs>
        <w:ind w:left="851" w:hanging="851"/>
      </w:pPr>
      <w:r w:rsidRPr="00287E01">
        <w:rPr>
          <w:b/>
        </w:rPr>
        <w:t>Bortz, J., Lienert, G.A. &amp; Boehnke, K. (2000).</w:t>
      </w:r>
      <w:r w:rsidRPr="00174B5A">
        <w:t xml:space="preserve"> Verteilungsfreie Methoden in der Biostatistik (3. Auflage). Heidelberg: Springer.</w:t>
      </w:r>
    </w:p>
    <w:p w:rsidR="003120F4" w:rsidRPr="00174B5A" w:rsidRDefault="003120F4" w:rsidP="00174B5A">
      <w:pPr>
        <w:pStyle w:val="references"/>
        <w:tabs>
          <w:tab w:val="clear" w:pos="851"/>
          <w:tab w:val="left" w:pos="993"/>
        </w:tabs>
        <w:ind w:left="851" w:hanging="851"/>
      </w:pPr>
      <w:r w:rsidRPr="00287E01">
        <w:rPr>
          <w:b/>
        </w:rPr>
        <w:t>Claxton, A.J., Cramer, J. &amp; Pierce, C. (2001).</w:t>
      </w:r>
      <w:r w:rsidRPr="00174B5A">
        <w:t xml:space="preserve"> A Systematic Review of the Associations Between Dose Regimens and Medication Compliance. Clinical Therapeutics, 23 (8), 1296-1310.</w:t>
      </w:r>
    </w:p>
    <w:p w:rsidR="00D12FCC" w:rsidRPr="00174B5A" w:rsidRDefault="00D12FCC" w:rsidP="00174B5A">
      <w:pPr>
        <w:pStyle w:val="references"/>
        <w:tabs>
          <w:tab w:val="clear" w:pos="851"/>
          <w:tab w:val="left" w:pos="993"/>
        </w:tabs>
        <w:ind w:left="851" w:hanging="851"/>
      </w:pPr>
      <w:r w:rsidRPr="00287E01">
        <w:rPr>
          <w:b/>
        </w:rPr>
        <w:t>Fikenzer, S., Falz, R., Tegtbur, U., Thomas, M., Drechsler, K., Schulze, A. &amp; Busse, M. (2006)</w:t>
      </w:r>
      <w:r w:rsidRPr="00174B5A">
        <w:t>. Prävalenz der arteriellen Hypertonie bei Studenten der Universität Leipzig. Klinische Sportmedizin, 7 (2), 19-22.</w:t>
      </w:r>
    </w:p>
    <w:p w:rsidR="003120F4" w:rsidRPr="00174B5A" w:rsidRDefault="003120F4" w:rsidP="00174B5A">
      <w:pPr>
        <w:pStyle w:val="references"/>
        <w:tabs>
          <w:tab w:val="clear" w:pos="851"/>
          <w:tab w:val="left" w:pos="993"/>
        </w:tabs>
        <w:ind w:left="851" w:hanging="851"/>
      </w:pPr>
      <w:r w:rsidRPr="00287E01">
        <w:rPr>
          <w:b/>
        </w:rPr>
        <w:t>Holzgreve, H. (2005).</w:t>
      </w:r>
      <w:r w:rsidRPr="00174B5A">
        <w:t xml:space="preserve"> Weight loss prevents Hypertension. MMW Fortschritt der Medizin, 147 (42), 22.</w:t>
      </w:r>
    </w:p>
    <w:p w:rsidR="003120F4" w:rsidRPr="00174B5A" w:rsidRDefault="003120F4" w:rsidP="00174B5A">
      <w:pPr>
        <w:pStyle w:val="references"/>
        <w:tabs>
          <w:tab w:val="clear" w:pos="851"/>
          <w:tab w:val="left" w:pos="993"/>
        </w:tabs>
        <w:ind w:left="851" w:hanging="851"/>
      </w:pPr>
      <w:r w:rsidRPr="00287E01">
        <w:rPr>
          <w:b/>
        </w:rPr>
        <w:t>Kannel, W.B., Vasan, R.S. &amp; Levy D. (2003).</w:t>
      </w:r>
      <w:r w:rsidRPr="00174B5A">
        <w:t xml:space="preserve"> Is the Relation of Systolic Blood Pressure to Risk of Cardiovascular Disease Continuous and Graded</w:t>
      </w:r>
      <w:r w:rsidR="00AB62E5" w:rsidRPr="00174B5A">
        <w:t>, or Are There Critical Values?</w:t>
      </w:r>
      <w:r w:rsidRPr="00174B5A">
        <w:t xml:space="preserve"> Hypertension, 42, 453-456.</w:t>
      </w:r>
    </w:p>
    <w:p w:rsidR="002A18AD" w:rsidRPr="00174B5A" w:rsidRDefault="00AB62E5" w:rsidP="00174B5A">
      <w:pPr>
        <w:pStyle w:val="references"/>
        <w:tabs>
          <w:tab w:val="clear" w:pos="851"/>
          <w:tab w:val="left" w:pos="993"/>
        </w:tabs>
        <w:ind w:left="851" w:hanging="851"/>
      </w:pPr>
      <w:r w:rsidRPr="00287E01">
        <w:rPr>
          <w:b/>
        </w:rPr>
        <w:t>Kearney, M.K., Whelton, M.,</w:t>
      </w:r>
      <w:r w:rsidR="002A18AD" w:rsidRPr="00287E01">
        <w:rPr>
          <w:b/>
        </w:rPr>
        <w:t xml:space="preserve"> Reynolds, K., Whelton, P.K. &amp; He, J. (2004)</w:t>
      </w:r>
      <w:r w:rsidR="002A18AD" w:rsidRPr="00174B5A">
        <w:t>. Worldwide Prevalence of Hypertension: a systematic review. Journal of Hypertension, 18, 11-19</w:t>
      </w:r>
      <w:r w:rsidR="003120F4" w:rsidRPr="00174B5A">
        <w:t>.</w:t>
      </w:r>
    </w:p>
    <w:p w:rsidR="003120F4" w:rsidRPr="00174B5A" w:rsidRDefault="003120F4" w:rsidP="00174B5A">
      <w:pPr>
        <w:pStyle w:val="references"/>
        <w:tabs>
          <w:tab w:val="clear" w:pos="851"/>
          <w:tab w:val="left" w:pos="993"/>
        </w:tabs>
        <w:ind w:left="851" w:hanging="851"/>
      </w:pPr>
      <w:r w:rsidRPr="00287E01">
        <w:rPr>
          <w:b/>
        </w:rPr>
        <w:t>Law, M.R., Wald, N.J., Morris, J.K. &amp; Jordan, R.E. (2003).</w:t>
      </w:r>
      <w:r w:rsidRPr="00174B5A">
        <w:t xml:space="preserve"> Value of low dose combination treatment with blood pressure lowering drugs: analysis of 354 randomised trials. British Medical Journal, 326, 1427-1434.</w:t>
      </w:r>
    </w:p>
    <w:p w:rsidR="0027464D" w:rsidRPr="00174B5A" w:rsidRDefault="0027464D" w:rsidP="00174B5A">
      <w:pPr>
        <w:pStyle w:val="references"/>
        <w:tabs>
          <w:tab w:val="clear" w:pos="851"/>
          <w:tab w:val="left" w:pos="993"/>
        </w:tabs>
        <w:ind w:left="851" w:hanging="851"/>
      </w:pPr>
      <w:r w:rsidRPr="00287E01">
        <w:rPr>
          <w:b/>
        </w:rPr>
        <w:t>Leiblein, J. (2011, 29. September).</w:t>
      </w:r>
      <w:r w:rsidRPr="00174B5A">
        <w:t xml:space="preserve"> </w:t>
      </w:r>
      <w:hyperlink r:id="rId22" w:history="1">
        <w:r w:rsidRPr="00D85AA3">
          <w:t>Bluthochdruck in Zahlen</w:t>
        </w:r>
      </w:hyperlink>
      <w:r w:rsidRPr="00174B5A">
        <w:t>. Zugriff am 18.11.12 unter www.hochdruck</w:t>
      </w:r>
      <w:r w:rsidR="00F5106E" w:rsidRPr="00174B5A">
        <w:t>liga.de/bluthochdruck-in-zahlen-</w:t>
      </w:r>
      <w:r w:rsidRPr="00174B5A">
        <w:t>presse.html</w:t>
      </w:r>
    </w:p>
    <w:p w:rsidR="00F57C85" w:rsidRPr="00174B5A" w:rsidRDefault="002A18AD" w:rsidP="00174B5A">
      <w:pPr>
        <w:pStyle w:val="references"/>
        <w:tabs>
          <w:tab w:val="clear" w:pos="851"/>
          <w:tab w:val="left" w:pos="993"/>
        </w:tabs>
        <w:ind w:left="851" w:hanging="851"/>
      </w:pPr>
      <w:r w:rsidRPr="00287E01">
        <w:rPr>
          <w:b/>
        </w:rPr>
        <w:t>Lewington, S., Clarke, R., Qizilbash, N., Peto, R. &amp; Collins, R. (2002)</w:t>
      </w:r>
      <w:r w:rsidRPr="00174B5A">
        <w:t>. Age-specific relevance of usual blood pressure to vascular mortality. The Lancet, 360, 1903-1913</w:t>
      </w:r>
      <w:r w:rsidR="003120F4" w:rsidRPr="00174B5A">
        <w:t>.</w:t>
      </w:r>
    </w:p>
    <w:p w:rsidR="003120F4" w:rsidRPr="00174B5A" w:rsidRDefault="003120F4" w:rsidP="00174B5A">
      <w:pPr>
        <w:pStyle w:val="references"/>
        <w:tabs>
          <w:tab w:val="clear" w:pos="851"/>
          <w:tab w:val="left" w:pos="993"/>
        </w:tabs>
        <w:ind w:left="851" w:hanging="851"/>
      </w:pPr>
      <w:r w:rsidRPr="00287E01">
        <w:rPr>
          <w:b/>
        </w:rPr>
        <w:t>Mancia, G., De Backer, G., Dominiczak, A., Cifkova, R., Fagard, R., Germano, G., Grassi, G., Heagerty, A.M., Kjeldsen, S.E., Laurent, S., Narkiewicz, K., Ruilope, L., Rynkiewicz, A., Schmieder, R.E., Struijker-Boudier, H.A., Zanchetti, A. (2007).</w:t>
      </w:r>
      <w:r w:rsidRPr="00174B5A">
        <w:t xml:space="preserve"> ESH-ESC Practice Guidelines for the Management of Arterial Hypertension. Journal of Hypertension, 25 (9), 1751-1762.</w:t>
      </w:r>
    </w:p>
    <w:p w:rsidR="003120F4" w:rsidRPr="00174B5A" w:rsidRDefault="003120F4" w:rsidP="00174B5A">
      <w:pPr>
        <w:pStyle w:val="references"/>
        <w:tabs>
          <w:tab w:val="clear" w:pos="851"/>
          <w:tab w:val="left" w:pos="993"/>
        </w:tabs>
        <w:ind w:left="851" w:hanging="851"/>
      </w:pPr>
      <w:r w:rsidRPr="00287E01">
        <w:rPr>
          <w:b/>
        </w:rPr>
        <w:t>Margetts, B.M., Beilin, L.J., Vandongen, R. &amp; Amstrong, B.K. (1986).</w:t>
      </w:r>
      <w:r w:rsidRPr="00174B5A">
        <w:t xml:space="preserve"> Vegetarian diet in mild hypertens</w:t>
      </w:r>
      <w:r w:rsidR="00AB62E5" w:rsidRPr="00174B5A">
        <w:t>ion: a randomized controlled tria</w:t>
      </w:r>
      <w:r w:rsidRPr="00174B5A">
        <w:t>l. British Medical Journal, 293 (6560), 1468-1471.</w:t>
      </w:r>
    </w:p>
    <w:p w:rsidR="003120F4" w:rsidRPr="00174B5A" w:rsidRDefault="003120F4" w:rsidP="00174B5A">
      <w:pPr>
        <w:pStyle w:val="references"/>
        <w:tabs>
          <w:tab w:val="clear" w:pos="851"/>
          <w:tab w:val="left" w:pos="993"/>
        </w:tabs>
        <w:ind w:left="851" w:hanging="851"/>
      </w:pPr>
      <w:r w:rsidRPr="00287E01">
        <w:rPr>
          <w:b/>
        </w:rPr>
        <w:lastRenderedPageBreak/>
        <w:t>Materson, B.J., Reda, D.J., Cushman, W.C., Massie, M.B., Freis, E.D., Kochar, M.S., Hamburger, R.J., Fye, C., Laskshman, R., Gottdiener, J., Ramirez, E.A. &amp; Henderson, W.G. (1993).</w:t>
      </w:r>
      <w:r w:rsidRPr="00174B5A">
        <w:t xml:space="preserve"> Single-Drug Therapy for Hypertension in Men. A Comparison of Six Antihypertensive Agents with Placebo. The New England Journal of Medicine, 328, 914-921.</w:t>
      </w:r>
    </w:p>
    <w:p w:rsidR="003120F4" w:rsidRPr="00174B5A" w:rsidRDefault="003120F4" w:rsidP="00174B5A">
      <w:pPr>
        <w:pStyle w:val="references"/>
        <w:tabs>
          <w:tab w:val="clear" w:pos="851"/>
          <w:tab w:val="left" w:pos="993"/>
        </w:tabs>
        <w:ind w:left="851" w:hanging="851"/>
      </w:pPr>
      <w:r w:rsidRPr="00287E01">
        <w:rPr>
          <w:b/>
        </w:rPr>
        <w:t>Mulrow, C.D., Chiquette, E., Angel, L., Cornell, J., Summerbell, C., Anagnostelis, B., Brand, M. &amp; Grimm Jr., R. (2008).</w:t>
      </w:r>
      <w:r w:rsidRPr="00174B5A">
        <w:t xml:space="preserve"> Dieting to reduce body weight for controlling hypertension in adults. The Cochrane Library, Issue 3, John Wiley &amp; Sons.</w:t>
      </w:r>
    </w:p>
    <w:p w:rsidR="003120F4" w:rsidRPr="00174B5A" w:rsidRDefault="003120F4" w:rsidP="00174B5A">
      <w:pPr>
        <w:pStyle w:val="references"/>
        <w:tabs>
          <w:tab w:val="clear" w:pos="851"/>
          <w:tab w:val="left" w:pos="993"/>
        </w:tabs>
        <w:ind w:left="851" w:hanging="851"/>
      </w:pPr>
      <w:r w:rsidRPr="00287E01">
        <w:rPr>
          <w:b/>
        </w:rPr>
        <w:t>Neter, J.E., Stam, B.E., Kok, F.J., Grobbee, D.E. &amp; Geleijnse, J.M. (2003).</w:t>
      </w:r>
      <w:r w:rsidRPr="00174B5A">
        <w:t xml:space="preserve"> Inﬂuence of weight reduction on blood pressure: a meta-analysis of randomized controlled trials. Hypertension, 42, 878–884.</w:t>
      </w:r>
    </w:p>
    <w:p w:rsidR="003120F4" w:rsidRPr="00287E01" w:rsidRDefault="003120F4" w:rsidP="00174B5A">
      <w:pPr>
        <w:pStyle w:val="references"/>
        <w:tabs>
          <w:tab w:val="clear" w:pos="851"/>
          <w:tab w:val="left" w:pos="993"/>
        </w:tabs>
        <w:ind w:left="851" w:hanging="851"/>
        <w:rPr>
          <w:b/>
        </w:rPr>
      </w:pPr>
      <w:r w:rsidRPr="00287E01">
        <w:rPr>
          <w:b/>
        </w:rPr>
        <w:t>Prospective Studies Collaboration (2002). Age-specific relevance of usual blood pressure to vascular mortality: a metanalysis of individual data for one million adults in 61 prospective studies. Lancet, 360, 1903-1913.</w:t>
      </w:r>
    </w:p>
    <w:p w:rsidR="002A18AD" w:rsidRPr="00174B5A" w:rsidRDefault="002A18AD" w:rsidP="00174B5A">
      <w:pPr>
        <w:pStyle w:val="references"/>
        <w:tabs>
          <w:tab w:val="clear" w:pos="851"/>
          <w:tab w:val="left" w:pos="993"/>
        </w:tabs>
        <w:ind w:left="851" w:hanging="851"/>
      </w:pPr>
      <w:r w:rsidRPr="00287E01">
        <w:rPr>
          <w:b/>
        </w:rPr>
        <w:t>Stamler, J., Stamler, R. &amp; Neaton, J.D. (1993)</w:t>
      </w:r>
      <w:r w:rsidRPr="00174B5A">
        <w:t>. Blood pressure, systolic and diastolic, and cardiovascular risks. US population data. Archives in Internal Medicine, 153, (5), 598-615</w:t>
      </w:r>
      <w:r w:rsidR="003120F4" w:rsidRPr="00174B5A">
        <w:t>.</w:t>
      </w:r>
    </w:p>
    <w:p w:rsidR="003120F4" w:rsidRPr="00174B5A" w:rsidRDefault="003120F4" w:rsidP="00174B5A">
      <w:pPr>
        <w:pStyle w:val="references"/>
        <w:tabs>
          <w:tab w:val="clear" w:pos="851"/>
          <w:tab w:val="left" w:pos="993"/>
        </w:tabs>
        <w:ind w:left="851" w:hanging="851"/>
      </w:pPr>
      <w:r w:rsidRPr="00287E01">
        <w:rPr>
          <w:b/>
        </w:rPr>
        <w:t>Statistisches Bundesamt (2012, 29. Juni)</w:t>
      </w:r>
      <w:r w:rsidRPr="00174B5A">
        <w:t>. Gesundheit. Todesursachen in Deutschland. Zugriff am 18.11.12 unter www.destatis.de/DE/Publikationen/Thematisch/Gesundheit/Todesursachen/Todesursachen2120400107004.pdf?__blob=publicationFile</w:t>
      </w:r>
    </w:p>
    <w:p w:rsidR="002A18AD" w:rsidRPr="00174B5A" w:rsidRDefault="002A18AD" w:rsidP="00174B5A">
      <w:pPr>
        <w:pStyle w:val="references"/>
        <w:tabs>
          <w:tab w:val="clear" w:pos="851"/>
          <w:tab w:val="left" w:pos="993"/>
        </w:tabs>
        <w:ind w:left="851" w:hanging="851"/>
      </w:pPr>
      <w:r w:rsidRPr="00287E01">
        <w:rPr>
          <w:b/>
        </w:rPr>
        <w:t>Vasan, S., Larson, M.G., Leip, E.P., Evans, J.C., O´Donnell, C.J., Kannel, W.B. &amp; Levy, D. (2001)</w:t>
      </w:r>
      <w:r w:rsidRPr="00174B5A">
        <w:t>. Impact of high normal blood pressure on the risk of cardiovascular disease. The New England Journal of Medicine, 345, (18), 1291-1297</w:t>
      </w:r>
      <w:r w:rsidR="003120F4" w:rsidRPr="00174B5A">
        <w:t>.</w:t>
      </w:r>
    </w:p>
    <w:p w:rsidR="003120F4" w:rsidRPr="00174B5A" w:rsidRDefault="003120F4" w:rsidP="00174B5A">
      <w:pPr>
        <w:pStyle w:val="references"/>
        <w:tabs>
          <w:tab w:val="clear" w:pos="851"/>
          <w:tab w:val="left" w:pos="993"/>
        </w:tabs>
        <w:ind w:left="851" w:hanging="851"/>
      </w:pPr>
      <w:r w:rsidRPr="00287E01">
        <w:rPr>
          <w:b/>
        </w:rPr>
        <w:t>Vasan, R.S., Larson, M.G., Leip, E.P., Kannel, W.B. &amp; Levy, D. (2001).</w:t>
      </w:r>
      <w:r w:rsidRPr="00174B5A">
        <w:t xml:space="preserve"> Assessment of frequency of progression to hypertension in non-hypertensive participants in the Framingham Study: a cohort study. Lancet, 358, 1682-1686.</w:t>
      </w:r>
    </w:p>
    <w:p w:rsidR="003120F4" w:rsidRPr="00174B5A" w:rsidRDefault="003120F4" w:rsidP="00174B5A">
      <w:pPr>
        <w:pStyle w:val="references"/>
        <w:tabs>
          <w:tab w:val="clear" w:pos="851"/>
          <w:tab w:val="left" w:pos="993"/>
        </w:tabs>
        <w:ind w:left="851" w:hanging="851"/>
      </w:pPr>
      <w:r w:rsidRPr="00287E01">
        <w:rPr>
          <w:b/>
        </w:rPr>
        <w:t>Weihs, W. (2005).</w:t>
      </w:r>
      <w:r w:rsidRPr="00174B5A">
        <w:t xml:space="preserve"> Pulsdruck als eigenständiger Risikofaktor: Ergebnisse der Praxisstudie CORIPULS. Journal für Hypertonie - Austrian Journal of Hypertension, 9 (4), 6-9.</w:t>
      </w:r>
    </w:p>
    <w:p w:rsidR="00F5106E" w:rsidRPr="00174B5A" w:rsidRDefault="00BC7090" w:rsidP="00174B5A">
      <w:pPr>
        <w:pStyle w:val="references"/>
        <w:tabs>
          <w:tab w:val="clear" w:pos="851"/>
          <w:tab w:val="left" w:pos="993"/>
        </w:tabs>
        <w:ind w:left="851" w:hanging="851"/>
        <w:sectPr w:rsidR="00F5106E" w:rsidRPr="00174B5A" w:rsidSect="00E426C9">
          <w:headerReference w:type="even" r:id="rId23"/>
          <w:headerReference w:type="default" r:id="rId24"/>
          <w:headerReference w:type="first" r:id="rId25"/>
          <w:footnotePr>
            <w:pos w:val="beneathText"/>
          </w:footnotePr>
          <w:type w:val="continuous"/>
          <w:pgSz w:w="11905" w:h="16837"/>
          <w:pgMar w:top="1417" w:right="1417" w:bottom="1134" w:left="1417" w:header="708" w:footer="720" w:gutter="0"/>
          <w:cols w:space="720"/>
          <w:docGrid w:linePitch="360"/>
        </w:sectPr>
      </w:pPr>
      <w:r w:rsidRPr="00287E01">
        <w:rPr>
          <w:b/>
        </w:rPr>
        <w:t>Yucha, C.B., Clark, L., Smith, L., Uris, P., LaFleur, B. &amp; Duval, S. (2001).</w:t>
      </w:r>
      <w:r w:rsidRPr="00174B5A">
        <w:t xml:space="preserve"> The effect of biofeedback in hypertension. Applied Nursing Research</w:t>
      </w:r>
      <w:r w:rsidR="00414D24" w:rsidRPr="00174B5A">
        <w:t>, 14 (1), 29-35</w:t>
      </w:r>
    </w:p>
    <w:p w:rsidR="00E426C9" w:rsidRPr="00174B5A" w:rsidRDefault="00E426C9">
      <w:pPr>
        <w:sectPr w:rsidR="00E426C9" w:rsidRPr="00174B5A">
          <w:footnotePr>
            <w:pos w:val="beneathText"/>
          </w:footnotePr>
          <w:type w:val="continuous"/>
          <w:pgSz w:w="11905" w:h="16837"/>
          <w:pgMar w:top="1417" w:right="1417" w:bottom="1134" w:left="1417" w:header="708" w:footer="720" w:gutter="0"/>
          <w:cols w:space="720"/>
          <w:docGrid w:linePitch="360"/>
        </w:sectPr>
      </w:pPr>
    </w:p>
    <w:p w:rsidR="00B24048" w:rsidRPr="00174B5A" w:rsidRDefault="00B24048" w:rsidP="00B24048">
      <w:pPr>
        <w:pStyle w:val="author"/>
      </w:pPr>
      <w:r w:rsidRPr="00287E01">
        <w:rPr>
          <w:b/>
        </w:rPr>
        <w:lastRenderedPageBreak/>
        <w:t>Mailing address</w:t>
      </w:r>
      <w:r w:rsidRPr="00174B5A">
        <w:t xml:space="preserve">: </w:t>
      </w:r>
      <w:r w:rsidRPr="00174B5A">
        <w:tab/>
      </w:r>
      <w:r w:rsidRPr="00174B5A">
        <w:rPr>
          <w:rStyle w:val="given-names"/>
        </w:rPr>
        <w:t>Christian</w:t>
      </w:r>
      <w:r w:rsidRPr="00174B5A">
        <w:t xml:space="preserve"> </w:t>
      </w:r>
      <w:r w:rsidRPr="00174B5A">
        <w:rPr>
          <w:rStyle w:val="surname"/>
        </w:rPr>
        <w:t>Bischoff</w:t>
      </w:r>
      <w:r w:rsidRPr="00174B5A">
        <w:t xml:space="preserve">, </w:t>
      </w:r>
      <w:r w:rsidRPr="00174B5A">
        <w:rPr>
          <w:rStyle w:val="degrees"/>
        </w:rPr>
        <w:t>MSc</w:t>
      </w:r>
    </w:p>
    <w:p w:rsidR="00B24048" w:rsidRPr="00174B5A" w:rsidRDefault="00B24048" w:rsidP="00B24048">
      <w:pPr>
        <w:pStyle w:val="address"/>
      </w:pPr>
      <w:r w:rsidRPr="00174B5A">
        <w:tab/>
      </w:r>
      <w:r w:rsidRPr="00174B5A">
        <w:tab/>
        <w:t>Universität Leipzig</w:t>
      </w:r>
    </w:p>
    <w:p w:rsidR="00B24048" w:rsidRPr="00174B5A" w:rsidRDefault="00B24048" w:rsidP="00B24048">
      <w:pPr>
        <w:pStyle w:val="address"/>
      </w:pPr>
      <w:r w:rsidRPr="00174B5A">
        <w:tab/>
      </w:r>
      <w:r w:rsidRPr="00174B5A">
        <w:tab/>
        <w:t>Institut für Sportmedizin und Prävention</w:t>
      </w:r>
    </w:p>
    <w:p w:rsidR="00B24048" w:rsidRPr="00174B5A" w:rsidRDefault="00B24048" w:rsidP="00B24048">
      <w:pPr>
        <w:pStyle w:val="address"/>
      </w:pPr>
      <w:r w:rsidRPr="00174B5A">
        <w:tab/>
      </w:r>
      <w:r w:rsidRPr="00174B5A">
        <w:tab/>
        <w:t>Marschner Str. 29</w:t>
      </w:r>
    </w:p>
    <w:p w:rsidR="00B24048" w:rsidRPr="00174B5A" w:rsidRDefault="00B24048" w:rsidP="00B24048">
      <w:pPr>
        <w:pStyle w:val="address"/>
      </w:pPr>
      <w:r w:rsidRPr="00174B5A">
        <w:tab/>
      </w:r>
      <w:r w:rsidRPr="00174B5A">
        <w:tab/>
        <w:t>04109 Leipzig, Germany</w:t>
      </w:r>
    </w:p>
    <w:p w:rsidR="00F57C85" w:rsidRPr="00D85AA3" w:rsidRDefault="00B24048" w:rsidP="00D85AA3">
      <w:pPr>
        <w:pStyle w:val="mail"/>
        <w:rPr>
          <w:b/>
        </w:rPr>
      </w:pPr>
      <w:r w:rsidRPr="00287E01">
        <w:rPr>
          <w:b/>
        </w:rPr>
        <w:t>Email address:</w:t>
      </w:r>
      <w:r w:rsidRPr="00287E01">
        <w:rPr>
          <w:b/>
        </w:rPr>
        <w:tab/>
      </w:r>
      <w:r w:rsidR="006662C6" w:rsidRPr="00287E01">
        <w:rPr>
          <w:b/>
        </w:rPr>
        <w:t>bischoff.christian@gmx.net</w:t>
      </w:r>
    </w:p>
    <w:sectPr w:rsidR="00F57C85" w:rsidRPr="00D85AA3">
      <w:footnotePr>
        <w:pos w:val="beneathText"/>
      </w:footnotePr>
      <w:type w:val="continuous"/>
      <w:pgSz w:w="11905" w:h="16837"/>
      <w:pgMar w:top="1417" w:right="1417" w:bottom="1134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37" w:rsidRDefault="00AC6B37">
      <w:r>
        <w:separator/>
      </w:r>
    </w:p>
  </w:endnote>
  <w:endnote w:type="continuationSeparator" w:id="0">
    <w:p w:rsidR="00AC6B37" w:rsidRDefault="00AC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FB" w:rsidRDefault="000C35FB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7B66">
      <w:rPr>
        <w:noProof/>
      </w:rPr>
      <w:t>14</w:t>
    </w:r>
    <w:r>
      <w:fldChar w:fldCharType="end"/>
    </w:r>
  </w:p>
  <w:p w:rsidR="000C35FB" w:rsidRDefault="000C35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37" w:rsidRDefault="00AC6B37">
      <w:r>
        <w:separator/>
      </w:r>
    </w:p>
  </w:footnote>
  <w:footnote w:type="continuationSeparator" w:id="0">
    <w:p w:rsidR="00AC6B37" w:rsidRDefault="00AC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09" w:rsidRPr="00AC62EF" w:rsidRDefault="004A6409" w:rsidP="004A6409">
    <w:pPr>
      <w:pStyle w:val="Kopfzeile"/>
      <w:ind w:right="360"/>
      <w:rPr>
        <w:lang w:val="en-GB"/>
      </w:rPr>
    </w:pPr>
    <w:r w:rsidRPr="00AC62EF">
      <w:rPr>
        <w:lang w:val="en-GB"/>
      </w:rPr>
      <w:t>CSMI</w:t>
    </w:r>
    <w:r>
      <w:rPr>
        <w:lang w:val="en-GB"/>
      </w:rPr>
      <w:t xml:space="preserve"> </w:t>
    </w:r>
    <w:r w:rsidRPr="00AC62EF">
      <w:rPr>
        <w:lang w:val="en-GB"/>
      </w:rPr>
      <w:t>201</w:t>
    </w:r>
    <w:r w:rsidR="004A04EA">
      <w:rPr>
        <w:lang w:val="en-GB"/>
      </w:rPr>
      <w:t>4</w:t>
    </w:r>
    <w:r w:rsidRPr="00AC62EF">
      <w:rPr>
        <w:lang w:val="en-GB"/>
      </w:rPr>
      <w:t xml:space="preserve">, </w:t>
    </w:r>
    <w:r w:rsidR="004A04EA">
      <w:rPr>
        <w:lang w:val="en-GB"/>
      </w:rPr>
      <w:t>7</w:t>
    </w:r>
    <w:r w:rsidRPr="00AC62EF">
      <w:rPr>
        <w:lang w:val="en-GB"/>
      </w:rPr>
      <w:t>(</w:t>
    </w:r>
    <w:r>
      <w:rPr>
        <w:lang w:val="en-GB"/>
      </w:rPr>
      <w:t>1</w:t>
    </w:r>
    <w:r w:rsidRPr="00AC62EF">
      <w:rPr>
        <w:lang w:val="en-GB"/>
      </w:rPr>
      <w:t xml:space="preserve">): </w:t>
    </w:r>
    <w:r w:rsidR="003F22DB">
      <w:rPr>
        <w:lang w:val="en-GB"/>
      </w:rPr>
      <w:t>9</w:t>
    </w:r>
    <w:r w:rsidRPr="00AC62EF">
      <w:rPr>
        <w:lang w:val="en-GB"/>
      </w:rPr>
      <w:t>-</w:t>
    </w:r>
    <w:r w:rsidR="003F22DB">
      <w:rPr>
        <w:lang w:val="en-GB"/>
      </w:rPr>
      <w:t>14</w:t>
    </w:r>
    <w:r>
      <w:rPr>
        <w:lang w:val="en-GB"/>
      </w:rPr>
      <w:tab/>
      <w:t xml:space="preserve">antihypertensive therapy in young adults   </w:t>
    </w:r>
    <w:r>
      <w:rPr>
        <w:lang w:val="en-GB"/>
      </w:rPr>
      <w:tab/>
    </w:r>
    <w:r w:rsidRPr="00AC62EF">
      <w:rPr>
        <w:lang w:val="en-GB"/>
      </w:rPr>
      <w:t>(http://clinical</w:t>
    </w:r>
    <w:r>
      <w:rPr>
        <w:lang w:val="en-GB"/>
      </w:rPr>
      <w:t>-</w:t>
    </w:r>
    <w:r w:rsidRPr="00AC62EF">
      <w:rPr>
        <w:lang w:val="en-GB"/>
      </w:rPr>
      <w:t>sportsmedicine.com)</w:t>
    </w:r>
  </w:p>
  <w:p w:rsidR="000C35FB" w:rsidRPr="004A6409" w:rsidRDefault="000C35FB" w:rsidP="004A6409">
    <w:pPr>
      <w:pStyle w:val="Kopfzeile"/>
      <w:rPr>
        <w:lang w:val="en-GB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FB" w:rsidRDefault="000C35FB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FB" w:rsidRDefault="000C35FB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FB" w:rsidRDefault="000C35FB" w:rsidP="00281365">
    <w:r>
      <w:t>KCS</w:t>
    </w:r>
    <w:r>
      <w:tab/>
      <w:t>2012, 13 (1): 16-21</w:t>
    </w:r>
    <w:r>
      <w:tab/>
      <w:t xml:space="preserve">      </w:t>
    </w:r>
    <w:r>
      <w:rPr>
        <w:bCs/>
      </w:rPr>
      <w:t>antihyper</w:t>
    </w:r>
    <w:r w:rsidRPr="0003604B">
      <w:rPr>
        <w:bCs/>
      </w:rPr>
      <w:t>tensiv</w:t>
    </w:r>
    <w:r>
      <w:rPr>
        <w:bCs/>
      </w:rPr>
      <w:t>e</w:t>
    </w:r>
    <w:r w:rsidRPr="0003604B">
      <w:rPr>
        <w:bCs/>
      </w:rPr>
      <w:t xml:space="preserve"> Therapie </w:t>
    </w:r>
    <w:r>
      <w:rPr>
        <w:bCs/>
      </w:rPr>
      <w:t>bei</w:t>
    </w:r>
    <w:r w:rsidRPr="0003604B">
      <w:rPr>
        <w:bCs/>
      </w:rPr>
      <w:t xml:space="preserve"> junge</w:t>
    </w:r>
    <w:r>
      <w:rPr>
        <w:bCs/>
      </w:rPr>
      <w:t>n</w:t>
    </w:r>
    <w:r w:rsidRPr="0003604B">
      <w:rPr>
        <w:bCs/>
      </w:rPr>
      <w:t xml:space="preserve"> Erwachsene</w:t>
    </w:r>
    <w:r>
      <w:rPr>
        <w:bCs/>
      </w:rPr>
      <w:t>n</w:t>
    </w:r>
    <w:r>
      <w:tab/>
      <w:t xml:space="preserve">   </w:t>
    </w:r>
    <w:proofErr w:type="gramStart"/>
    <w:r>
      <w:t xml:space="preserve">   (</w:t>
    </w:r>
    <w:proofErr w:type="gramEnd"/>
    <w:r>
      <w:t>http://klinische-sportmedizin.de)</w:t>
    </w:r>
  </w:p>
  <w:p w:rsidR="000C35FB" w:rsidRDefault="000C35FB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FB" w:rsidRDefault="000C35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FB" w:rsidRDefault="000C35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FB" w:rsidRDefault="000C35F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FB" w:rsidRDefault="000C35F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FB" w:rsidRDefault="000C35F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FB" w:rsidRDefault="000C35FB">
    <w:r>
      <w:t>KCS</w:t>
    </w:r>
    <w:r>
      <w:tab/>
      <w:t>2009, 1(10): 9-16</w:t>
    </w:r>
    <w:r>
      <w:tab/>
      <w:t>tHb - Massenbestimmung mit der CO-Rückatemmethode</w:t>
    </w:r>
    <w:r>
      <w:tab/>
      <w:t>(http://klinische-sportmedizin.de)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FB" w:rsidRDefault="000C35FB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FB" w:rsidRDefault="000C35FB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EA" w:rsidRPr="00AC62EF" w:rsidRDefault="004A04EA" w:rsidP="004A04EA">
    <w:pPr>
      <w:pStyle w:val="Kopfzeile"/>
      <w:ind w:right="360"/>
      <w:rPr>
        <w:lang w:val="en-GB"/>
      </w:rPr>
    </w:pPr>
    <w:r w:rsidRPr="00AC62EF">
      <w:rPr>
        <w:lang w:val="en-GB"/>
      </w:rPr>
      <w:t>CSMI</w:t>
    </w:r>
    <w:r>
      <w:rPr>
        <w:lang w:val="en-GB"/>
      </w:rPr>
      <w:t xml:space="preserve"> </w:t>
    </w:r>
    <w:r w:rsidRPr="00AC62EF">
      <w:rPr>
        <w:lang w:val="en-GB"/>
      </w:rPr>
      <w:t>201</w:t>
    </w:r>
    <w:r>
      <w:rPr>
        <w:lang w:val="en-GB"/>
      </w:rPr>
      <w:t>4</w:t>
    </w:r>
    <w:r w:rsidRPr="00AC62EF">
      <w:rPr>
        <w:lang w:val="en-GB"/>
      </w:rPr>
      <w:t xml:space="preserve">, </w:t>
    </w:r>
    <w:r>
      <w:rPr>
        <w:lang w:val="en-GB"/>
      </w:rPr>
      <w:t>7</w:t>
    </w:r>
    <w:r w:rsidRPr="00AC62EF">
      <w:rPr>
        <w:lang w:val="en-GB"/>
      </w:rPr>
      <w:t>(</w:t>
    </w:r>
    <w:r>
      <w:rPr>
        <w:lang w:val="en-GB"/>
      </w:rPr>
      <w:t>1</w:t>
    </w:r>
    <w:r w:rsidRPr="00AC62EF">
      <w:rPr>
        <w:lang w:val="en-GB"/>
      </w:rPr>
      <w:t xml:space="preserve">): </w:t>
    </w:r>
    <w:r w:rsidR="003F22DB">
      <w:rPr>
        <w:lang w:val="en-GB"/>
      </w:rPr>
      <w:t>9</w:t>
    </w:r>
    <w:r w:rsidRPr="00AC62EF">
      <w:rPr>
        <w:lang w:val="en-GB"/>
      </w:rPr>
      <w:t>-</w:t>
    </w:r>
    <w:r w:rsidR="003F22DB">
      <w:rPr>
        <w:lang w:val="en-GB"/>
      </w:rPr>
      <w:t>14</w:t>
    </w:r>
    <w:r>
      <w:rPr>
        <w:lang w:val="en-GB"/>
      </w:rPr>
      <w:tab/>
      <w:t xml:space="preserve">antihypertensive therapy in young adults   </w:t>
    </w:r>
    <w:r>
      <w:rPr>
        <w:lang w:val="en-GB"/>
      </w:rPr>
      <w:tab/>
    </w:r>
    <w:r w:rsidRPr="00AC62EF">
      <w:rPr>
        <w:lang w:val="en-GB"/>
      </w:rPr>
      <w:t>(http://clinical</w:t>
    </w:r>
    <w:r>
      <w:rPr>
        <w:lang w:val="en-GB"/>
      </w:rPr>
      <w:t>-</w:t>
    </w:r>
    <w:r w:rsidRPr="00AC62EF">
      <w:rPr>
        <w:lang w:val="en-GB"/>
      </w:rPr>
      <w:t>sportsmedicine.com)</w:t>
    </w:r>
  </w:p>
  <w:p w:rsidR="000C35FB" w:rsidRPr="004A04EA" w:rsidRDefault="000C35FB" w:rsidP="00576CE5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737"/>
      </w:pPr>
    </w:lvl>
  </w:abstractNum>
  <w:abstractNum w:abstractNumId="3" w15:restartNumberingAfterBreak="0">
    <w:nsid w:val="0E8B2BA6"/>
    <w:multiLevelType w:val="hybridMultilevel"/>
    <w:tmpl w:val="6ACCAD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81580E"/>
    <w:multiLevelType w:val="hybridMultilevel"/>
    <w:tmpl w:val="85F451A6"/>
    <w:lvl w:ilvl="0" w:tplc="9C141968">
      <w:start w:val="1"/>
      <w:numFmt w:val="decimal"/>
      <w:pStyle w:val="references"/>
      <w:lvlText w:val="%1."/>
      <w:lvlJc w:val="left"/>
      <w:pPr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220" w:hanging="360"/>
      </w:pPr>
    </w:lvl>
    <w:lvl w:ilvl="2" w:tplc="0407001B" w:tentative="1">
      <w:start w:val="1"/>
      <w:numFmt w:val="lowerRoman"/>
      <w:lvlText w:val="%3."/>
      <w:lvlJc w:val="right"/>
      <w:pPr>
        <w:ind w:left="14940" w:hanging="180"/>
      </w:pPr>
    </w:lvl>
    <w:lvl w:ilvl="3" w:tplc="0407000F" w:tentative="1">
      <w:start w:val="1"/>
      <w:numFmt w:val="decimal"/>
      <w:lvlText w:val="%4."/>
      <w:lvlJc w:val="left"/>
      <w:pPr>
        <w:ind w:left="15660" w:hanging="360"/>
      </w:pPr>
    </w:lvl>
    <w:lvl w:ilvl="4" w:tplc="04070019" w:tentative="1">
      <w:start w:val="1"/>
      <w:numFmt w:val="lowerLetter"/>
      <w:lvlText w:val="%5."/>
      <w:lvlJc w:val="left"/>
      <w:pPr>
        <w:ind w:left="16380" w:hanging="360"/>
      </w:pPr>
    </w:lvl>
    <w:lvl w:ilvl="5" w:tplc="0407001B" w:tentative="1">
      <w:start w:val="1"/>
      <w:numFmt w:val="lowerRoman"/>
      <w:lvlText w:val="%6."/>
      <w:lvlJc w:val="right"/>
      <w:pPr>
        <w:ind w:left="17100" w:hanging="180"/>
      </w:pPr>
    </w:lvl>
    <w:lvl w:ilvl="6" w:tplc="0407000F" w:tentative="1">
      <w:start w:val="1"/>
      <w:numFmt w:val="decimal"/>
      <w:lvlText w:val="%7."/>
      <w:lvlJc w:val="left"/>
      <w:pPr>
        <w:ind w:left="17820" w:hanging="360"/>
      </w:pPr>
    </w:lvl>
    <w:lvl w:ilvl="7" w:tplc="04070019" w:tentative="1">
      <w:start w:val="1"/>
      <w:numFmt w:val="lowerLetter"/>
      <w:lvlText w:val="%8."/>
      <w:lvlJc w:val="left"/>
      <w:pPr>
        <w:ind w:left="18540" w:hanging="360"/>
      </w:pPr>
    </w:lvl>
    <w:lvl w:ilvl="8" w:tplc="0407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5" w15:restartNumberingAfterBreak="0">
    <w:nsid w:val="37FA315C"/>
    <w:multiLevelType w:val="hybridMultilevel"/>
    <w:tmpl w:val="BBC041B2"/>
    <w:lvl w:ilvl="0" w:tplc="D1BA7438">
      <w:start w:val="1"/>
      <w:numFmt w:val="bullet"/>
      <w:pStyle w:val="Normal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D73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94"/>
    <w:rsid w:val="000038BE"/>
    <w:rsid w:val="00014473"/>
    <w:rsid w:val="00020C1B"/>
    <w:rsid w:val="0002203A"/>
    <w:rsid w:val="0003098C"/>
    <w:rsid w:val="00031736"/>
    <w:rsid w:val="000352BE"/>
    <w:rsid w:val="0003604B"/>
    <w:rsid w:val="00042397"/>
    <w:rsid w:val="00052BE6"/>
    <w:rsid w:val="00057D56"/>
    <w:rsid w:val="00061768"/>
    <w:rsid w:val="00084F82"/>
    <w:rsid w:val="00092A1B"/>
    <w:rsid w:val="00097438"/>
    <w:rsid w:val="000A3B28"/>
    <w:rsid w:val="000B3584"/>
    <w:rsid w:val="000C35FB"/>
    <w:rsid w:val="000D0348"/>
    <w:rsid w:val="000D161D"/>
    <w:rsid w:val="000D1BF1"/>
    <w:rsid w:val="000D3403"/>
    <w:rsid w:val="000D356E"/>
    <w:rsid w:val="000E3647"/>
    <w:rsid w:val="000E3ED9"/>
    <w:rsid w:val="000E6349"/>
    <w:rsid w:val="000E7BE2"/>
    <w:rsid w:val="000F4680"/>
    <w:rsid w:val="0010587D"/>
    <w:rsid w:val="0011122A"/>
    <w:rsid w:val="00120443"/>
    <w:rsid w:val="00125368"/>
    <w:rsid w:val="00130CC2"/>
    <w:rsid w:val="00130F4B"/>
    <w:rsid w:val="00131EBA"/>
    <w:rsid w:val="00136DB6"/>
    <w:rsid w:val="001405C3"/>
    <w:rsid w:val="00146733"/>
    <w:rsid w:val="0016300F"/>
    <w:rsid w:val="00166FA8"/>
    <w:rsid w:val="001706A6"/>
    <w:rsid w:val="00171836"/>
    <w:rsid w:val="00172DC9"/>
    <w:rsid w:val="00174B5A"/>
    <w:rsid w:val="00186726"/>
    <w:rsid w:val="001A1EBA"/>
    <w:rsid w:val="001A40EE"/>
    <w:rsid w:val="001A4C1C"/>
    <w:rsid w:val="001B190C"/>
    <w:rsid w:val="001B2E7D"/>
    <w:rsid w:val="001C12A6"/>
    <w:rsid w:val="001C3D43"/>
    <w:rsid w:val="001C71F8"/>
    <w:rsid w:val="001D6BD1"/>
    <w:rsid w:val="001E3C4C"/>
    <w:rsid w:val="001F39DE"/>
    <w:rsid w:val="00200C67"/>
    <w:rsid w:val="00204A10"/>
    <w:rsid w:val="00211721"/>
    <w:rsid w:val="00211F20"/>
    <w:rsid w:val="00212FAD"/>
    <w:rsid w:val="00220F2C"/>
    <w:rsid w:val="00222A36"/>
    <w:rsid w:val="00223EEF"/>
    <w:rsid w:val="00227D07"/>
    <w:rsid w:val="00235E25"/>
    <w:rsid w:val="00236872"/>
    <w:rsid w:val="002473CC"/>
    <w:rsid w:val="0027464D"/>
    <w:rsid w:val="00281365"/>
    <w:rsid w:val="002843A7"/>
    <w:rsid w:val="00287990"/>
    <w:rsid w:val="00287E01"/>
    <w:rsid w:val="00291770"/>
    <w:rsid w:val="00294C0B"/>
    <w:rsid w:val="002A04C3"/>
    <w:rsid w:val="002A18AD"/>
    <w:rsid w:val="002A5D42"/>
    <w:rsid w:val="002B4112"/>
    <w:rsid w:val="002B6A37"/>
    <w:rsid w:val="002B73E6"/>
    <w:rsid w:val="002D69D8"/>
    <w:rsid w:val="002E2852"/>
    <w:rsid w:val="002E56C7"/>
    <w:rsid w:val="002E7D47"/>
    <w:rsid w:val="002F48A3"/>
    <w:rsid w:val="002F5C96"/>
    <w:rsid w:val="003120F4"/>
    <w:rsid w:val="00312679"/>
    <w:rsid w:val="00315523"/>
    <w:rsid w:val="00323FA1"/>
    <w:rsid w:val="0032664F"/>
    <w:rsid w:val="00327BD9"/>
    <w:rsid w:val="00330833"/>
    <w:rsid w:val="003348C6"/>
    <w:rsid w:val="00336A74"/>
    <w:rsid w:val="00352111"/>
    <w:rsid w:val="003613CB"/>
    <w:rsid w:val="00364159"/>
    <w:rsid w:val="00366299"/>
    <w:rsid w:val="00372EEA"/>
    <w:rsid w:val="00374D6F"/>
    <w:rsid w:val="003765E2"/>
    <w:rsid w:val="00376964"/>
    <w:rsid w:val="00377C6A"/>
    <w:rsid w:val="0038018D"/>
    <w:rsid w:val="00380B62"/>
    <w:rsid w:val="003876CE"/>
    <w:rsid w:val="00391E64"/>
    <w:rsid w:val="0039350C"/>
    <w:rsid w:val="003A7461"/>
    <w:rsid w:val="003B05CE"/>
    <w:rsid w:val="003B2BD8"/>
    <w:rsid w:val="003B75EA"/>
    <w:rsid w:val="003D4125"/>
    <w:rsid w:val="003E4728"/>
    <w:rsid w:val="003E7584"/>
    <w:rsid w:val="003F22DB"/>
    <w:rsid w:val="003F36FF"/>
    <w:rsid w:val="003F5AE5"/>
    <w:rsid w:val="00402D58"/>
    <w:rsid w:val="00410BE9"/>
    <w:rsid w:val="00414D24"/>
    <w:rsid w:val="0042499A"/>
    <w:rsid w:val="00446707"/>
    <w:rsid w:val="004518BD"/>
    <w:rsid w:val="00453092"/>
    <w:rsid w:val="004635FF"/>
    <w:rsid w:val="004728D3"/>
    <w:rsid w:val="00474668"/>
    <w:rsid w:val="00475C20"/>
    <w:rsid w:val="004801D9"/>
    <w:rsid w:val="004A04EA"/>
    <w:rsid w:val="004A6409"/>
    <w:rsid w:val="004B207D"/>
    <w:rsid w:val="004B5D3F"/>
    <w:rsid w:val="004C39EE"/>
    <w:rsid w:val="004C6CB5"/>
    <w:rsid w:val="004D2C4C"/>
    <w:rsid w:val="004D7623"/>
    <w:rsid w:val="004E471A"/>
    <w:rsid w:val="004E5F31"/>
    <w:rsid w:val="005003D4"/>
    <w:rsid w:val="00502824"/>
    <w:rsid w:val="005065F1"/>
    <w:rsid w:val="00513410"/>
    <w:rsid w:val="005174E1"/>
    <w:rsid w:val="00532D26"/>
    <w:rsid w:val="005511E5"/>
    <w:rsid w:val="0055258B"/>
    <w:rsid w:val="00557884"/>
    <w:rsid w:val="00566425"/>
    <w:rsid w:val="00576CE5"/>
    <w:rsid w:val="005927DC"/>
    <w:rsid w:val="00593FFE"/>
    <w:rsid w:val="005A39CF"/>
    <w:rsid w:val="005C20C7"/>
    <w:rsid w:val="005C4275"/>
    <w:rsid w:val="005D031E"/>
    <w:rsid w:val="005D5F06"/>
    <w:rsid w:val="005E1D00"/>
    <w:rsid w:val="005E4E2D"/>
    <w:rsid w:val="005E7B66"/>
    <w:rsid w:val="005F4FFC"/>
    <w:rsid w:val="00602B66"/>
    <w:rsid w:val="006037D1"/>
    <w:rsid w:val="006045B0"/>
    <w:rsid w:val="0061216F"/>
    <w:rsid w:val="00614560"/>
    <w:rsid w:val="0063247F"/>
    <w:rsid w:val="0063283F"/>
    <w:rsid w:val="0063761D"/>
    <w:rsid w:val="00640353"/>
    <w:rsid w:val="00643EC9"/>
    <w:rsid w:val="0064424A"/>
    <w:rsid w:val="00646B77"/>
    <w:rsid w:val="00650322"/>
    <w:rsid w:val="006505FC"/>
    <w:rsid w:val="006527CC"/>
    <w:rsid w:val="00653C36"/>
    <w:rsid w:val="00660485"/>
    <w:rsid w:val="006662C6"/>
    <w:rsid w:val="00671D7D"/>
    <w:rsid w:val="00673975"/>
    <w:rsid w:val="00682471"/>
    <w:rsid w:val="006910A9"/>
    <w:rsid w:val="006A4AB5"/>
    <w:rsid w:val="006B054C"/>
    <w:rsid w:val="006B3CD0"/>
    <w:rsid w:val="006C3720"/>
    <w:rsid w:val="006C7D6C"/>
    <w:rsid w:val="006D149E"/>
    <w:rsid w:val="006D3C75"/>
    <w:rsid w:val="006D5D6E"/>
    <w:rsid w:val="006E575F"/>
    <w:rsid w:val="006F3005"/>
    <w:rsid w:val="00701235"/>
    <w:rsid w:val="00705E48"/>
    <w:rsid w:val="00711B0A"/>
    <w:rsid w:val="007143B6"/>
    <w:rsid w:val="00721A89"/>
    <w:rsid w:val="007309D2"/>
    <w:rsid w:val="007312DF"/>
    <w:rsid w:val="00735216"/>
    <w:rsid w:val="0073535A"/>
    <w:rsid w:val="00742194"/>
    <w:rsid w:val="00743B61"/>
    <w:rsid w:val="007569F4"/>
    <w:rsid w:val="007751E0"/>
    <w:rsid w:val="007A26D3"/>
    <w:rsid w:val="007B2475"/>
    <w:rsid w:val="007E16B8"/>
    <w:rsid w:val="007E40A7"/>
    <w:rsid w:val="007F5BCA"/>
    <w:rsid w:val="00805F0C"/>
    <w:rsid w:val="008459D8"/>
    <w:rsid w:val="00845B4B"/>
    <w:rsid w:val="00847D95"/>
    <w:rsid w:val="0085715D"/>
    <w:rsid w:val="00860B1A"/>
    <w:rsid w:val="008657F2"/>
    <w:rsid w:val="00872E5D"/>
    <w:rsid w:val="008760E9"/>
    <w:rsid w:val="0088032D"/>
    <w:rsid w:val="0088387B"/>
    <w:rsid w:val="0089286A"/>
    <w:rsid w:val="008938E5"/>
    <w:rsid w:val="008A1F4B"/>
    <w:rsid w:val="008A6A65"/>
    <w:rsid w:val="008C14B4"/>
    <w:rsid w:val="008C20AE"/>
    <w:rsid w:val="008C2F04"/>
    <w:rsid w:val="008C3BA3"/>
    <w:rsid w:val="008C5194"/>
    <w:rsid w:val="008D35B5"/>
    <w:rsid w:val="008D4AA6"/>
    <w:rsid w:val="008D585F"/>
    <w:rsid w:val="008E4873"/>
    <w:rsid w:val="008E5F5C"/>
    <w:rsid w:val="00900064"/>
    <w:rsid w:val="00900A86"/>
    <w:rsid w:val="00902D40"/>
    <w:rsid w:val="0090446D"/>
    <w:rsid w:val="00905EC4"/>
    <w:rsid w:val="00921818"/>
    <w:rsid w:val="00930143"/>
    <w:rsid w:val="00933130"/>
    <w:rsid w:val="00933F61"/>
    <w:rsid w:val="00934A41"/>
    <w:rsid w:val="00936A82"/>
    <w:rsid w:val="00945C72"/>
    <w:rsid w:val="009516E3"/>
    <w:rsid w:val="00952D99"/>
    <w:rsid w:val="009570CC"/>
    <w:rsid w:val="00974880"/>
    <w:rsid w:val="009819F9"/>
    <w:rsid w:val="00986BBD"/>
    <w:rsid w:val="00986E7E"/>
    <w:rsid w:val="009870BF"/>
    <w:rsid w:val="00990C2A"/>
    <w:rsid w:val="009A674B"/>
    <w:rsid w:val="009A7230"/>
    <w:rsid w:val="009B0A76"/>
    <w:rsid w:val="009B33D5"/>
    <w:rsid w:val="009D6566"/>
    <w:rsid w:val="009D747C"/>
    <w:rsid w:val="009D7BEB"/>
    <w:rsid w:val="009F34EF"/>
    <w:rsid w:val="009F38EB"/>
    <w:rsid w:val="009F4F3E"/>
    <w:rsid w:val="00A00681"/>
    <w:rsid w:val="00A10425"/>
    <w:rsid w:val="00A15D78"/>
    <w:rsid w:val="00A16D06"/>
    <w:rsid w:val="00A259AD"/>
    <w:rsid w:val="00A324F2"/>
    <w:rsid w:val="00A32A34"/>
    <w:rsid w:val="00A54487"/>
    <w:rsid w:val="00A645EE"/>
    <w:rsid w:val="00A64B60"/>
    <w:rsid w:val="00A65B07"/>
    <w:rsid w:val="00A674E0"/>
    <w:rsid w:val="00A819EC"/>
    <w:rsid w:val="00A836EC"/>
    <w:rsid w:val="00A85FE5"/>
    <w:rsid w:val="00A87BFF"/>
    <w:rsid w:val="00A9188F"/>
    <w:rsid w:val="00A97CD8"/>
    <w:rsid w:val="00AA1A9A"/>
    <w:rsid w:val="00AB62E5"/>
    <w:rsid w:val="00AB6B00"/>
    <w:rsid w:val="00AC4028"/>
    <w:rsid w:val="00AC6B37"/>
    <w:rsid w:val="00AD1BB9"/>
    <w:rsid w:val="00AD2784"/>
    <w:rsid w:val="00AE215B"/>
    <w:rsid w:val="00AE50E1"/>
    <w:rsid w:val="00AF338E"/>
    <w:rsid w:val="00B00D26"/>
    <w:rsid w:val="00B00F59"/>
    <w:rsid w:val="00B015C0"/>
    <w:rsid w:val="00B1085C"/>
    <w:rsid w:val="00B12F1D"/>
    <w:rsid w:val="00B17CE2"/>
    <w:rsid w:val="00B2390F"/>
    <w:rsid w:val="00B24048"/>
    <w:rsid w:val="00B251B7"/>
    <w:rsid w:val="00B31BF0"/>
    <w:rsid w:val="00B33335"/>
    <w:rsid w:val="00B34606"/>
    <w:rsid w:val="00B407CE"/>
    <w:rsid w:val="00B45432"/>
    <w:rsid w:val="00B53B91"/>
    <w:rsid w:val="00B61E13"/>
    <w:rsid w:val="00B7024A"/>
    <w:rsid w:val="00B70630"/>
    <w:rsid w:val="00B711A8"/>
    <w:rsid w:val="00B75891"/>
    <w:rsid w:val="00B81F1C"/>
    <w:rsid w:val="00B931B5"/>
    <w:rsid w:val="00BA6B9F"/>
    <w:rsid w:val="00BC7090"/>
    <w:rsid w:val="00BD0167"/>
    <w:rsid w:val="00BD27A5"/>
    <w:rsid w:val="00BD28B6"/>
    <w:rsid w:val="00BD65A6"/>
    <w:rsid w:val="00BE6AA6"/>
    <w:rsid w:val="00BF1A8E"/>
    <w:rsid w:val="00C02B41"/>
    <w:rsid w:val="00C038B0"/>
    <w:rsid w:val="00C041AA"/>
    <w:rsid w:val="00C179E4"/>
    <w:rsid w:val="00C17AB5"/>
    <w:rsid w:val="00C211AD"/>
    <w:rsid w:val="00C65DD8"/>
    <w:rsid w:val="00C66A56"/>
    <w:rsid w:val="00C720C9"/>
    <w:rsid w:val="00C72549"/>
    <w:rsid w:val="00C86EE3"/>
    <w:rsid w:val="00C916B8"/>
    <w:rsid w:val="00C9180E"/>
    <w:rsid w:val="00C929C3"/>
    <w:rsid w:val="00C93531"/>
    <w:rsid w:val="00CA2587"/>
    <w:rsid w:val="00CB29F0"/>
    <w:rsid w:val="00CB3C0E"/>
    <w:rsid w:val="00CB5122"/>
    <w:rsid w:val="00CB5391"/>
    <w:rsid w:val="00CB76A7"/>
    <w:rsid w:val="00CC7A66"/>
    <w:rsid w:val="00CE0B84"/>
    <w:rsid w:val="00CE5A09"/>
    <w:rsid w:val="00CE78BA"/>
    <w:rsid w:val="00CF07FF"/>
    <w:rsid w:val="00CF575D"/>
    <w:rsid w:val="00D05287"/>
    <w:rsid w:val="00D06212"/>
    <w:rsid w:val="00D12FCC"/>
    <w:rsid w:val="00D150C7"/>
    <w:rsid w:val="00D159E2"/>
    <w:rsid w:val="00D27A8C"/>
    <w:rsid w:val="00D3175F"/>
    <w:rsid w:val="00D36DFE"/>
    <w:rsid w:val="00D40276"/>
    <w:rsid w:val="00D45F52"/>
    <w:rsid w:val="00D51B10"/>
    <w:rsid w:val="00D52FA6"/>
    <w:rsid w:val="00D55981"/>
    <w:rsid w:val="00D70CDF"/>
    <w:rsid w:val="00D74994"/>
    <w:rsid w:val="00D773C6"/>
    <w:rsid w:val="00D80624"/>
    <w:rsid w:val="00D80AE8"/>
    <w:rsid w:val="00D81657"/>
    <w:rsid w:val="00D85AA3"/>
    <w:rsid w:val="00D876C2"/>
    <w:rsid w:val="00D93095"/>
    <w:rsid w:val="00DA18B9"/>
    <w:rsid w:val="00DA67AB"/>
    <w:rsid w:val="00DB2978"/>
    <w:rsid w:val="00DB7547"/>
    <w:rsid w:val="00DC63AC"/>
    <w:rsid w:val="00DC6EE3"/>
    <w:rsid w:val="00DD1BA2"/>
    <w:rsid w:val="00DD4930"/>
    <w:rsid w:val="00DD4B3A"/>
    <w:rsid w:val="00DD5205"/>
    <w:rsid w:val="00DD6D42"/>
    <w:rsid w:val="00DD7CFE"/>
    <w:rsid w:val="00DE09B9"/>
    <w:rsid w:val="00DE1550"/>
    <w:rsid w:val="00DE186E"/>
    <w:rsid w:val="00DF6751"/>
    <w:rsid w:val="00DF75CD"/>
    <w:rsid w:val="00DF7EF3"/>
    <w:rsid w:val="00E01125"/>
    <w:rsid w:val="00E06027"/>
    <w:rsid w:val="00E060F0"/>
    <w:rsid w:val="00E07FD7"/>
    <w:rsid w:val="00E135F9"/>
    <w:rsid w:val="00E226C9"/>
    <w:rsid w:val="00E27AAE"/>
    <w:rsid w:val="00E426C9"/>
    <w:rsid w:val="00E52EE2"/>
    <w:rsid w:val="00E552E6"/>
    <w:rsid w:val="00E61568"/>
    <w:rsid w:val="00E715FE"/>
    <w:rsid w:val="00E71886"/>
    <w:rsid w:val="00E74764"/>
    <w:rsid w:val="00E811C7"/>
    <w:rsid w:val="00E86E3E"/>
    <w:rsid w:val="00E900B2"/>
    <w:rsid w:val="00EA212D"/>
    <w:rsid w:val="00EA2272"/>
    <w:rsid w:val="00EB2E3B"/>
    <w:rsid w:val="00EB49B6"/>
    <w:rsid w:val="00EB5E5D"/>
    <w:rsid w:val="00EC75E5"/>
    <w:rsid w:val="00EE3F14"/>
    <w:rsid w:val="00EE5E69"/>
    <w:rsid w:val="00F0022E"/>
    <w:rsid w:val="00F01EB2"/>
    <w:rsid w:val="00F07E5B"/>
    <w:rsid w:val="00F10050"/>
    <w:rsid w:val="00F23E44"/>
    <w:rsid w:val="00F251E9"/>
    <w:rsid w:val="00F366C8"/>
    <w:rsid w:val="00F4398D"/>
    <w:rsid w:val="00F5106E"/>
    <w:rsid w:val="00F53DF0"/>
    <w:rsid w:val="00F57C85"/>
    <w:rsid w:val="00F62C7D"/>
    <w:rsid w:val="00F76895"/>
    <w:rsid w:val="00F81CF7"/>
    <w:rsid w:val="00F83B27"/>
    <w:rsid w:val="00F9422A"/>
    <w:rsid w:val="00FA696A"/>
    <w:rsid w:val="00FB077D"/>
    <w:rsid w:val="00FB1A8B"/>
    <w:rsid w:val="00FB550F"/>
    <w:rsid w:val="00FC37FE"/>
    <w:rsid w:val="00FC6DB6"/>
    <w:rsid w:val="00FE7110"/>
    <w:rsid w:val="00FE7D70"/>
    <w:rsid w:val="00FF515B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25B9AA-3B11-4A07-8610-2A6F77C1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7547"/>
    <w:pPr>
      <w:suppressAutoHyphens/>
      <w:jc w:val="both"/>
    </w:pPr>
    <w:rPr>
      <w:rFonts w:ascii="Arial Narrow" w:hAnsi="Arial Narrow"/>
      <w:szCs w:val="24"/>
      <w:lang w:eastAsia="ar-SA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clear" w:pos="576"/>
      </w:tabs>
      <w:ind w:left="0" w:firstLine="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clear" w:pos="720"/>
      </w:tabs>
      <w:ind w:left="0" w:firstLine="0"/>
      <w:outlineLvl w:val="2"/>
    </w:pPr>
    <w:rPr>
      <w:rFonts w:cs="Arial"/>
      <w:b/>
      <w:bCs/>
      <w:szCs w:val="26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fetteSchrift">
    <w:name w:val="fette Schrift"/>
    <w:rPr>
      <w:rFonts w:ascii="Arial Narrow" w:hAnsi="Arial Narrow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1"/>
    <w:semiHidden/>
  </w:style>
  <w:style w:type="paragraph" w:styleId="Textkrper">
    <w:name w:val="Body Text"/>
    <w:basedOn w:val="Standard"/>
    <w:semiHidden/>
    <w:rPr>
      <w:szCs w:val="20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ormel">
    <w:name w:val="Formel"/>
    <w:basedOn w:val="Standard"/>
    <w:pPr>
      <w:jc w:val="center"/>
    </w:pPr>
    <w:rPr>
      <w:b/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 Narrow" w:eastAsia="Arial" w:hAnsi="Arial Narrow"/>
      <w:color w:val="000000"/>
      <w:sz w:val="24"/>
      <w:szCs w:val="24"/>
      <w:lang w:eastAsia="ar-SA"/>
    </w:rPr>
  </w:style>
  <w:style w:type="paragraph" w:customStyle="1" w:styleId="Tabellenverzeichnis">
    <w:name w:val="Tabellenverzeichnis"/>
    <w:basedOn w:val="Standard"/>
    <w:rsid w:val="00660485"/>
    <w:pPr>
      <w:tabs>
        <w:tab w:val="left" w:pos="0"/>
        <w:tab w:val="left" w:pos="540"/>
        <w:tab w:val="right" w:pos="8493"/>
      </w:tabs>
    </w:pPr>
    <w:rPr>
      <w:rFonts w:cs="Arial"/>
      <w:b/>
      <w:bCs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tabletitle">
    <w:name w:val="table_title"/>
    <w:basedOn w:val="Standard"/>
    <w:qFormat/>
    <w:rsid w:val="00DC6EE3"/>
    <w:pPr>
      <w:spacing w:before="120"/>
    </w:pPr>
    <w:rPr>
      <w:b/>
      <w:sz w:val="18"/>
      <w:lang w:val="en-US"/>
    </w:rPr>
  </w:style>
  <w:style w:type="character" w:styleId="Funotenzeichen">
    <w:name w:val="footnote reference"/>
    <w:semiHidden/>
    <w:rPr>
      <w:rFonts w:ascii="Arial" w:hAnsi="Arial"/>
      <w:spacing w:val="0"/>
      <w:kern w:val="0"/>
      <w:position w:val="4"/>
      <w:sz w:val="20"/>
      <w:vertAlign w:val="baseline"/>
    </w:rPr>
  </w:style>
  <w:style w:type="paragraph" w:styleId="Funotentext">
    <w:name w:val="footnote text"/>
    <w:basedOn w:val="Standard"/>
    <w:semiHidden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de-DE"/>
    </w:rPr>
  </w:style>
  <w:style w:type="character" w:customStyle="1" w:styleId="FunotentextZchn">
    <w:name w:val="Fußnotentext Zchn"/>
    <w:semiHidden/>
    <w:rPr>
      <w:rFonts w:ascii="Arial" w:hAnsi="Arial"/>
    </w:rPr>
  </w:style>
  <w:style w:type="paragraph" w:styleId="Beschriftung">
    <w:name w:val="caption"/>
    <w:basedOn w:val="Standard"/>
    <w:next w:val="Standard"/>
    <w:uiPriority w:val="35"/>
    <w:unhideWhenUsed/>
    <w:qFormat/>
    <w:rsid w:val="00576CE5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F61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933F61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B00F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0F59"/>
    <w:rPr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B00F59"/>
    <w:rPr>
      <w:rFonts w:ascii="Arial Narrow" w:hAnsi="Arial Narrow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0F5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00F59"/>
    <w:rPr>
      <w:rFonts w:ascii="Arial Narrow" w:hAnsi="Arial Narrow"/>
      <w:b/>
      <w:bCs/>
      <w:lang w:eastAsia="ar-SA"/>
    </w:rPr>
  </w:style>
  <w:style w:type="character" w:customStyle="1" w:styleId="KopfzeileZchn">
    <w:name w:val="Kopfzeile Zchn"/>
    <w:link w:val="Kopfzeile"/>
    <w:uiPriority w:val="99"/>
    <w:rsid w:val="004A6409"/>
    <w:rPr>
      <w:rFonts w:ascii="Arial Narrow" w:hAnsi="Arial Narrow"/>
      <w:szCs w:val="24"/>
      <w:lang w:eastAsia="ar-SA"/>
    </w:rPr>
  </w:style>
  <w:style w:type="paragraph" w:customStyle="1" w:styleId="Headline-1">
    <w:name w:val="Headline-1"/>
    <w:basedOn w:val="Standard"/>
    <w:rsid w:val="00AD2784"/>
    <w:pPr>
      <w:spacing w:before="240" w:after="240"/>
    </w:pPr>
    <w:rPr>
      <w:b/>
      <w:kern w:val="28"/>
      <w:sz w:val="28"/>
      <w:szCs w:val="20"/>
    </w:rPr>
  </w:style>
  <w:style w:type="paragraph" w:customStyle="1" w:styleId="authors">
    <w:name w:val="authors"/>
    <w:basedOn w:val="Standard"/>
    <w:qFormat/>
    <w:rsid w:val="00174B5A"/>
    <w:pPr>
      <w:spacing w:after="240"/>
    </w:pPr>
    <w:rPr>
      <w:b/>
    </w:rPr>
  </w:style>
  <w:style w:type="paragraph" w:customStyle="1" w:styleId="Headline2">
    <w:name w:val="Headline_2"/>
    <w:basedOn w:val="berschrift2"/>
    <w:rsid w:val="00A85FE5"/>
    <w:pPr>
      <w:framePr w:wrap="notBeside" w:vAnchor="page" w:hAnchor="text" w:y="1"/>
    </w:pPr>
    <w:rPr>
      <w:rFonts w:cs="Times New Roman"/>
      <w:iCs w:val="0"/>
      <w:szCs w:val="20"/>
    </w:rPr>
  </w:style>
  <w:style w:type="paragraph" w:customStyle="1" w:styleId="Headline-2">
    <w:name w:val="Headline-2"/>
    <w:basedOn w:val="Standard"/>
    <w:qFormat/>
    <w:rsid w:val="00DC6EE3"/>
    <w:pPr>
      <w:spacing w:before="240"/>
    </w:pPr>
    <w:rPr>
      <w:b/>
      <w:sz w:val="28"/>
    </w:rPr>
  </w:style>
  <w:style w:type="paragraph" w:customStyle="1" w:styleId="Headline-3">
    <w:name w:val="Headline-3"/>
    <w:basedOn w:val="Standard"/>
    <w:qFormat/>
    <w:rsid w:val="00B7024A"/>
    <w:pPr>
      <w:widowControl w:val="0"/>
      <w:autoSpaceDE w:val="0"/>
      <w:spacing w:before="240"/>
    </w:pPr>
    <w:rPr>
      <w:b/>
      <w:szCs w:val="20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518BD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518BD"/>
    <w:rPr>
      <w:rFonts w:ascii="Arial Narrow" w:hAnsi="Arial Narrow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4518BD"/>
    <w:rPr>
      <w:vertAlign w:val="superscript"/>
    </w:rPr>
  </w:style>
  <w:style w:type="paragraph" w:customStyle="1" w:styleId="figuretitle">
    <w:name w:val="figure_title"/>
    <w:basedOn w:val="Textkrper"/>
    <w:qFormat/>
    <w:rsid w:val="00BF1A8E"/>
    <w:pPr>
      <w:spacing w:before="80"/>
    </w:pPr>
    <w:rPr>
      <w:b/>
      <w:noProof/>
      <w:sz w:val="18"/>
      <w:lang w:val="en-US"/>
    </w:rPr>
  </w:style>
  <w:style w:type="paragraph" w:customStyle="1" w:styleId="tablehead">
    <w:name w:val="table_head"/>
    <w:basedOn w:val="Standard"/>
    <w:qFormat/>
    <w:rsid w:val="00A65B07"/>
    <w:pPr>
      <w:snapToGrid w:val="0"/>
      <w:jc w:val="center"/>
    </w:pPr>
    <w:rPr>
      <w:sz w:val="16"/>
      <w:szCs w:val="12"/>
    </w:rPr>
  </w:style>
  <w:style w:type="paragraph" w:customStyle="1" w:styleId="tablecell">
    <w:name w:val="table_cell"/>
    <w:basedOn w:val="Standard"/>
    <w:qFormat/>
    <w:rsid w:val="00A65B07"/>
    <w:pPr>
      <w:snapToGrid w:val="0"/>
      <w:jc w:val="center"/>
    </w:pPr>
    <w:rPr>
      <w:rFonts w:cs="Arial"/>
      <w:sz w:val="16"/>
      <w:szCs w:val="12"/>
    </w:rPr>
  </w:style>
  <w:style w:type="paragraph" w:customStyle="1" w:styleId="tablerow">
    <w:name w:val="table_row"/>
    <w:basedOn w:val="Standard"/>
    <w:qFormat/>
    <w:rsid w:val="004518BD"/>
    <w:pPr>
      <w:snapToGrid w:val="0"/>
      <w:jc w:val="center"/>
    </w:pPr>
    <w:rPr>
      <w:rFonts w:cs="Arial"/>
      <w:b/>
      <w:sz w:val="12"/>
      <w:szCs w:val="12"/>
    </w:rPr>
  </w:style>
  <w:style w:type="paragraph" w:customStyle="1" w:styleId="tablesub">
    <w:name w:val="table_sub"/>
    <w:basedOn w:val="Standard"/>
    <w:qFormat/>
    <w:rsid w:val="004518BD"/>
    <w:pPr>
      <w:spacing w:line="360" w:lineRule="auto"/>
    </w:pPr>
    <w:rPr>
      <w:rFonts w:ascii="Arial" w:hAnsi="Arial" w:cs="Arial"/>
      <w:sz w:val="12"/>
      <w:szCs w:val="16"/>
      <w:lang w:val="en-US"/>
    </w:rPr>
  </w:style>
  <w:style w:type="paragraph" w:customStyle="1" w:styleId="Normallist">
    <w:name w:val="Normal_list"/>
    <w:basedOn w:val="Tabellenverzeichnis"/>
    <w:qFormat/>
    <w:rsid w:val="00EA212D"/>
    <w:pPr>
      <w:numPr>
        <w:numId w:val="7"/>
      </w:numPr>
    </w:pPr>
    <w:rPr>
      <w:b w:val="0"/>
      <w:lang w:val="en-US"/>
    </w:rPr>
  </w:style>
  <w:style w:type="paragraph" w:customStyle="1" w:styleId="references">
    <w:name w:val="references"/>
    <w:basedOn w:val="Standard"/>
    <w:qFormat/>
    <w:rsid w:val="00287E01"/>
    <w:pPr>
      <w:numPr>
        <w:numId w:val="5"/>
      </w:numPr>
      <w:tabs>
        <w:tab w:val="left" w:pos="426"/>
        <w:tab w:val="left" w:pos="709"/>
        <w:tab w:val="left" w:pos="851"/>
      </w:tabs>
    </w:pPr>
    <w:rPr>
      <w:szCs w:val="20"/>
    </w:rPr>
  </w:style>
  <w:style w:type="paragraph" w:customStyle="1" w:styleId="author">
    <w:name w:val="author"/>
    <w:basedOn w:val="Standard"/>
    <w:qFormat/>
    <w:rsid w:val="00BF1A8E"/>
    <w:pPr>
      <w:spacing w:before="360"/>
    </w:pPr>
    <w:rPr>
      <w:lang w:val="en-US"/>
    </w:rPr>
  </w:style>
  <w:style w:type="paragraph" w:customStyle="1" w:styleId="figure">
    <w:name w:val="figure"/>
    <w:basedOn w:val="Tabellenverzeichnis"/>
    <w:qFormat/>
    <w:rsid w:val="00BF1A8E"/>
    <w:pPr>
      <w:keepNext/>
    </w:pPr>
  </w:style>
  <w:style w:type="paragraph" w:customStyle="1" w:styleId="affiliation">
    <w:name w:val="affiliation"/>
    <w:basedOn w:val="Standard"/>
    <w:qFormat/>
    <w:rsid w:val="00DB7547"/>
    <w:pPr>
      <w:widowControl w:val="0"/>
      <w:autoSpaceDE w:val="0"/>
      <w:spacing w:line="231" w:lineRule="atLeast"/>
      <w:ind w:right="252"/>
    </w:pPr>
    <w:rPr>
      <w:rFonts w:cs="Arial Narrow"/>
      <w:color w:val="000000"/>
      <w:szCs w:val="20"/>
      <w:lang w:val="en-US"/>
    </w:rPr>
  </w:style>
  <w:style w:type="paragraph" w:customStyle="1" w:styleId="quotation">
    <w:name w:val="quotation"/>
    <w:basedOn w:val="Standard"/>
    <w:qFormat/>
    <w:rsid w:val="00DB7547"/>
    <w:pPr>
      <w:widowControl w:val="0"/>
      <w:autoSpaceDE w:val="0"/>
    </w:pPr>
    <w:rPr>
      <w:rFonts w:cs="Arial Narrow"/>
      <w:b/>
      <w:bCs/>
      <w:color w:val="000000"/>
      <w:szCs w:val="20"/>
      <w:lang w:val="en-US"/>
    </w:rPr>
  </w:style>
  <w:style w:type="paragraph" w:customStyle="1" w:styleId="Headline-2rule">
    <w:name w:val="Headline-2~rule"/>
    <w:basedOn w:val="Headline-2"/>
    <w:qFormat/>
    <w:rsid w:val="00AD2784"/>
    <w:pPr>
      <w:pBdr>
        <w:top w:val="single" w:sz="8" w:space="12" w:color="auto"/>
      </w:pBdr>
    </w:pPr>
    <w:rPr>
      <w:lang w:val="en-US"/>
    </w:rPr>
  </w:style>
  <w:style w:type="character" w:customStyle="1" w:styleId="surname">
    <w:name w:val="surname"/>
    <w:basedOn w:val="Absatz-Standardschriftart"/>
    <w:uiPriority w:val="1"/>
    <w:qFormat/>
    <w:rsid w:val="00174B5A"/>
    <w:rPr>
      <w:rFonts w:ascii="Arial Narrow" w:hAnsi="Arial Narrow"/>
      <w:b w:val="0"/>
    </w:rPr>
  </w:style>
  <w:style w:type="character" w:customStyle="1" w:styleId="given-names">
    <w:name w:val="given-names"/>
    <w:basedOn w:val="surname"/>
    <w:uiPriority w:val="1"/>
    <w:qFormat/>
    <w:rsid w:val="004C39EE"/>
    <w:rPr>
      <w:rFonts w:ascii="Arial Narrow" w:hAnsi="Arial Narrow"/>
      <w:b w:val="0"/>
    </w:rPr>
  </w:style>
  <w:style w:type="character" w:customStyle="1" w:styleId="aff">
    <w:name w:val="aff"/>
    <w:basedOn w:val="given-names"/>
    <w:uiPriority w:val="1"/>
    <w:qFormat/>
    <w:rsid w:val="004C39EE"/>
    <w:rPr>
      <w:rFonts w:ascii="Arial Narrow" w:hAnsi="Arial Narrow"/>
      <w:b w:val="0"/>
      <w:vertAlign w:val="superscript"/>
    </w:rPr>
  </w:style>
  <w:style w:type="paragraph" w:customStyle="1" w:styleId="address">
    <w:name w:val="address"/>
    <w:basedOn w:val="author"/>
    <w:rsid w:val="00204A10"/>
    <w:pPr>
      <w:spacing w:before="0"/>
    </w:pPr>
    <w:rPr>
      <w:szCs w:val="20"/>
    </w:rPr>
  </w:style>
  <w:style w:type="character" w:customStyle="1" w:styleId="degrees">
    <w:name w:val="degrees"/>
    <w:basedOn w:val="given-names"/>
    <w:uiPriority w:val="1"/>
    <w:qFormat/>
    <w:rsid w:val="00174B5A"/>
    <w:rPr>
      <w:rFonts w:ascii="Arial Narrow" w:hAnsi="Arial Narrow"/>
      <w:b w:val="0"/>
      <w:lang w:val="de-DE"/>
    </w:rPr>
  </w:style>
  <w:style w:type="paragraph" w:customStyle="1" w:styleId="FormatvorlageHeadline-2Nach12Pt">
    <w:name w:val="Formatvorlage Headline-2 + Nach:  12 Pt."/>
    <w:basedOn w:val="Standard"/>
    <w:rsid w:val="00F10050"/>
    <w:pPr>
      <w:spacing w:before="240" w:after="240"/>
    </w:pPr>
    <w:rPr>
      <w:b/>
      <w:iCs/>
      <w:sz w:val="24"/>
      <w:szCs w:val="20"/>
    </w:rPr>
  </w:style>
  <w:style w:type="paragraph" w:customStyle="1" w:styleId="mail">
    <w:name w:val="mail"/>
    <w:basedOn w:val="author"/>
    <w:qFormat/>
    <w:rsid w:val="00E811C7"/>
  </w:style>
  <w:style w:type="character" w:customStyle="1" w:styleId="Formatvorlagesurname">
    <w:name w:val="Formatvorlage surname +"/>
    <w:basedOn w:val="surname"/>
    <w:rsid w:val="00174B5A"/>
    <w:rPr>
      <w:rFonts w:ascii="Arial Narrow" w:hAnsi="Arial Narrow"/>
      <w:b/>
      <w:bCs/>
    </w:rPr>
  </w:style>
  <w:style w:type="character" w:customStyle="1" w:styleId="ref">
    <w:name w:val="ref"/>
    <w:basedOn w:val="Absatz-Standardschriftart"/>
    <w:uiPriority w:val="1"/>
    <w:qFormat/>
    <w:rsid w:val="00172DC9"/>
  </w:style>
  <w:style w:type="character" w:customStyle="1" w:styleId="fn">
    <w:name w:val="fn"/>
    <w:basedOn w:val="Absatz-Standardschriftart"/>
    <w:uiPriority w:val="1"/>
    <w:qFormat/>
    <w:rsid w:val="009D6566"/>
    <w:rPr>
      <w:b/>
    </w:rPr>
  </w:style>
  <w:style w:type="character" w:customStyle="1" w:styleId="tab">
    <w:name w:val="tab"/>
    <w:basedOn w:val="Absatz-Standardschriftart"/>
    <w:uiPriority w:val="1"/>
    <w:qFormat/>
    <w:rsid w:val="00B711A8"/>
  </w:style>
  <w:style w:type="character" w:customStyle="1" w:styleId="fig">
    <w:name w:val="fig"/>
    <w:basedOn w:val="Absatz-Standardschriftart"/>
    <w:uiPriority w:val="1"/>
    <w:qFormat/>
    <w:rsid w:val="009D747C"/>
  </w:style>
  <w:style w:type="paragraph" w:customStyle="1" w:styleId="head3">
    <w:name w:val="head3"/>
    <w:qFormat/>
    <w:rsid w:val="00CF07FF"/>
    <w:pPr>
      <w:spacing w:before="240"/>
    </w:pPr>
    <w:rPr>
      <w:rFonts w:ascii="Arial Narrow" w:hAnsi="Arial Narrow"/>
      <w:b/>
      <w:lang w:val="en-US" w:eastAsia="ar-SA"/>
    </w:rPr>
  </w:style>
  <w:style w:type="paragraph" w:customStyle="1" w:styleId="tabhead">
    <w:name w:val="tab_head"/>
    <w:qFormat/>
    <w:rsid w:val="005E7B66"/>
    <w:pPr>
      <w:jc w:val="center"/>
    </w:pPr>
    <w:rPr>
      <w:rFonts w:ascii="Arial Narrow" w:hAnsi="Arial Narrow"/>
      <w:b/>
      <w:sz w:val="16"/>
      <w:szCs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tiff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image" Target="media/image2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hyperlink" Target="http://www.hochdruckliga.de/bluthochdruck-in-zahlen-presse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5C9C-7F3D-476B-9782-CBC38DFE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3955</Words>
  <Characters>22546</Characters>
  <Application>Microsoft Office Word</Application>
  <DocSecurity>0</DocSecurity>
  <Lines>187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Bestimmung der Gesamthämoglobinmasse mit der weiterentwickelten CO-Rückatmungsmethode – Methodik und Evaluierung</vt:lpstr>
      <vt:lpstr>Bestimmung der Gesamthämoglobinmasse mit der weiterentwickelten CO-Rückatmungsmethode – Methodik und Evaluierung</vt:lpstr>
    </vt:vector>
  </TitlesOfParts>
  <Company/>
  <LinksUpToDate>false</LinksUpToDate>
  <CharactersWithSpaces>26449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Bestimmung der Gesamthämoglobinmasse mit der weiterentwickelten CO-Rückatmungsmethode – Methodik und Evaluierung</dc:title>
  <dc:subject/>
  <dc:creator>Falz, R, Thomas, M, Hoppe, St, Rüdrich, P, Fikenzer, S, Busse, M.</dc:creator>
  <cp:keywords>Blutvolumenbestimmung, CO-Rückatmungsmethode, HbCO-steady-state, Evaluierung</cp:keywords>
  <dc:description>Estimation of the total haemoglobin mass with the developed CO-Rebreathing method</dc:description>
  <cp:lastModifiedBy>fr4nze</cp:lastModifiedBy>
  <cp:revision>62</cp:revision>
  <cp:lastPrinted>2014-01-30T15:48:00Z</cp:lastPrinted>
  <dcterms:created xsi:type="dcterms:W3CDTF">2015-10-05T09:03:00Z</dcterms:created>
  <dcterms:modified xsi:type="dcterms:W3CDTF">2016-02-10T14:37:00Z</dcterms:modified>
  <cp:category>sport, Medizin, sports, Medicine</cp:category>
</cp:coreProperties>
</file>